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default" w:ascii="仿宋_GB2312" w:eastAsia="仿宋_GB2312"/>
          <w:sz w:val="28"/>
          <w:szCs w:val="28"/>
          <w:lang w:val="en-US" w:eastAsia="zh-CN"/>
        </w:rPr>
      </w:pPr>
      <w:r>
        <w:rPr>
          <w:rFonts w:hint="eastAsia" w:ascii="仿宋_GB2312" w:eastAsia="仿宋_GB2312"/>
          <w:sz w:val="28"/>
          <w:szCs w:val="28"/>
          <w:lang w:val="en-US" w:eastAsia="zh-CN"/>
        </w:rPr>
        <w:t>附件2</w:t>
      </w:r>
    </w:p>
    <w:p w14:paraId="13AB522E">
      <w:pPr>
        <w:spacing w:line="360" w:lineRule="auto"/>
        <w:jc w:val="left"/>
        <w:rPr>
          <w:rFonts w:ascii="仿宋_GB2312" w:eastAsia="仿宋_GB2312"/>
          <w:sz w:val="32"/>
          <w:szCs w:val="32"/>
        </w:rPr>
      </w:pPr>
    </w:p>
    <w:p w14:paraId="1DA6429A">
      <w:pPr>
        <w:pStyle w:val="2"/>
      </w:pPr>
    </w:p>
    <w:p w14:paraId="3BFCA760">
      <w:pPr>
        <w:jc w:val="center"/>
        <w:rPr>
          <w:rFonts w:hint="eastAsia" w:ascii="Times New Roman" w:hAnsi="Times New Roman" w:eastAsia="宋体" w:cs="Times New Roman"/>
          <w:b/>
          <w:sz w:val="52"/>
          <w:szCs w:val="52"/>
        </w:rPr>
      </w:pPr>
      <w:r>
        <w:rPr>
          <w:rFonts w:hint="eastAsia" w:ascii="Times New Roman" w:hAnsi="Times New Roman" w:eastAsia="宋体" w:cs="Times New Roman"/>
          <w:b/>
          <w:sz w:val="52"/>
          <w:szCs w:val="52"/>
          <w:lang w:val="en-US" w:eastAsia="zh-CN"/>
        </w:rPr>
        <w:t>山西省</w:t>
      </w:r>
      <w:r>
        <w:rPr>
          <w:rFonts w:hint="eastAsia" w:ascii="Times New Roman" w:hAnsi="Times New Roman" w:eastAsia="宋体" w:cs="Times New Roman"/>
          <w:b/>
          <w:sz w:val="52"/>
          <w:szCs w:val="52"/>
        </w:rPr>
        <w:t>家装</w:t>
      </w:r>
      <w:r>
        <w:rPr>
          <w:rFonts w:hint="eastAsia" w:ascii="Times New Roman" w:hAnsi="Times New Roman" w:eastAsia="宋体" w:cs="Times New Roman"/>
          <w:b/>
          <w:sz w:val="52"/>
          <w:szCs w:val="52"/>
          <w:lang w:eastAsia="zh-CN"/>
        </w:rPr>
        <w:t>（</w:t>
      </w:r>
      <w:r>
        <w:rPr>
          <w:rFonts w:hint="eastAsia" w:ascii="Times New Roman" w:hAnsi="Times New Roman" w:eastAsia="宋体" w:cs="Times New Roman"/>
          <w:b/>
          <w:sz w:val="52"/>
          <w:szCs w:val="52"/>
          <w:lang w:val="en-US" w:eastAsia="zh-CN"/>
        </w:rPr>
        <w:t>软装</w:t>
      </w:r>
      <w:r>
        <w:rPr>
          <w:rFonts w:hint="eastAsia" w:ascii="Times New Roman" w:hAnsi="Times New Roman" w:eastAsia="宋体" w:cs="Times New Roman"/>
          <w:b/>
          <w:sz w:val="52"/>
          <w:szCs w:val="52"/>
          <w:lang w:eastAsia="zh-CN"/>
        </w:rPr>
        <w:t>）</w:t>
      </w:r>
      <w:r>
        <w:rPr>
          <w:rFonts w:hint="eastAsia" w:ascii="Times New Roman" w:hAnsi="Times New Roman" w:eastAsia="宋体" w:cs="Times New Roman"/>
          <w:b/>
          <w:sz w:val="52"/>
          <w:szCs w:val="52"/>
        </w:rPr>
        <w:t>企业</w:t>
      </w:r>
    </w:p>
    <w:p w14:paraId="5442460F">
      <w:pPr>
        <w:jc w:val="center"/>
        <w:rPr>
          <w:rFonts w:ascii="Times New Roman" w:hAnsi="Times New Roman" w:eastAsia="宋体" w:cs="Times New Roman"/>
          <w:b/>
          <w:sz w:val="72"/>
          <w:szCs w:val="72"/>
        </w:rPr>
      </w:pPr>
      <w:r>
        <w:rPr>
          <w:rFonts w:hint="eastAsia" w:ascii="Times New Roman" w:hAnsi="Times New Roman" w:eastAsia="宋体" w:cs="Times New Roman"/>
          <w:b/>
          <w:sz w:val="52"/>
          <w:szCs w:val="52"/>
          <w:lang w:val="en-US" w:eastAsia="zh-CN"/>
        </w:rPr>
        <w:t>服务</w:t>
      </w: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p>
    <w:p w14:paraId="034C9C10">
      <w:pPr>
        <w:jc w:val="center"/>
        <w:rPr>
          <w:rFonts w:ascii="Times New Roman" w:hAnsi="Times New Roman" w:eastAsia="宋体" w:cs="Times New Roman"/>
          <w:sz w:val="52"/>
          <w:szCs w:val="52"/>
        </w:rPr>
      </w:pPr>
    </w:p>
    <w:p w14:paraId="2B093ADA">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06377BF7">
      <w:pPr>
        <w:keepNext/>
        <w:keepLines/>
        <w:widowControl/>
        <w:spacing w:before="480" w:line="276" w:lineRule="auto"/>
        <w:jc w:val="both"/>
        <w:rPr>
          <w:rFonts w:hint="eastAsia" w:ascii="宋体" w:hAnsi="宋体" w:eastAsia="宋体" w:cs="宋体"/>
          <w:b/>
          <w:bCs/>
          <w:color w:val="000000"/>
          <w:kern w:val="0"/>
          <w:sz w:val="32"/>
          <w:szCs w:val="32"/>
          <w:lang w:val="zh-CN"/>
        </w:rPr>
      </w:pPr>
    </w:p>
    <w:p w14:paraId="19BBAAD7">
      <w:pPr>
        <w:widowControl/>
        <w:tabs>
          <w:tab w:val="right" w:leader="dot" w:pos="8296"/>
        </w:tabs>
        <w:spacing w:after="100" w:line="276" w:lineRule="auto"/>
        <w:jc w:val="left"/>
        <w:rPr>
          <w:rFonts w:hint="eastAsia" w:ascii="宋体" w:hAnsi="宋体" w:eastAsia="宋体" w:cs="宋体"/>
          <w:color w:val="000000"/>
          <w:kern w:val="0"/>
          <w:sz w:val="22"/>
          <w:lang w:val="en-US" w:eastAsia="zh-CN"/>
        </w:rPr>
      </w:pPr>
    </w:p>
    <w:p w14:paraId="2E11E9E5">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p>
    <w:p w14:paraId="1AD05244">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pPr>
      <w:r>
        <w:rPr>
          <w:rFonts w:hint="eastAsia" w:ascii="宋体" w:hAnsi="宋体" w:eastAsia="宋体" w:cs="宋体"/>
          <w:color w:val="000000"/>
          <w:kern w:val="0"/>
          <w:sz w:val="36"/>
          <w:szCs w:val="36"/>
          <w:lang w:val="en-US" w:eastAsia="zh-CN"/>
        </w:rPr>
        <w:t>目    录</w:t>
      </w:r>
    </w:p>
    <w:p w14:paraId="725963DB">
      <w:pPr>
        <w:widowControl/>
        <w:tabs>
          <w:tab w:val="right" w:leader="dot" w:pos="8296"/>
        </w:tabs>
        <w:spacing w:after="100" w:line="276" w:lineRule="auto"/>
        <w:jc w:val="left"/>
        <w:rPr>
          <w:rFonts w:ascii="Calibri" w:hAnsi="Calibri" w:eastAsia="宋体" w:cs="Calibri"/>
          <w:kern w:val="0"/>
          <w:sz w:val="22"/>
        </w:rPr>
      </w:pPr>
      <w:r>
        <w:rPr>
          <w:rFonts w:ascii="宋体" w:hAnsi="宋体" w:eastAsia="宋体" w:cs="宋体"/>
          <w:color w:val="000000"/>
          <w:kern w:val="0"/>
          <w:sz w:val="22"/>
        </w:rPr>
        <w:fldChar w:fldCharType="begin"/>
      </w:r>
      <w:r>
        <w:rPr>
          <w:rFonts w:ascii="宋体" w:hAnsi="宋体" w:eastAsia="宋体" w:cs="宋体"/>
          <w:color w:val="000000"/>
          <w:kern w:val="0"/>
          <w:sz w:val="22"/>
        </w:rPr>
        <w:instrText xml:space="preserve"> TOC \o "1-3" \h \z \u </w:instrText>
      </w:r>
      <w:r>
        <w:rPr>
          <w:rFonts w:ascii="宋体" w:hAnsi="宋体" w:eastAsia="宋体" w:cs="宋体"/>
          <w:color w:val="000000"/>
          <w:kern w:val="0"/>
          <w:sz w:val="22"/>
        </w:rPr>
        <w:fldChar w:fldCharType="separate"/>
      </w:r>
      <w:r>
        <w:fldChar w:fldCharType="begin"/>
      </w:r>
      <w:r>
        <w:instrText xml:space="preserve"> HYPERLINK \l "_Toc24371147" </w:instrText>
      </w:r>
      <w:r>
        <w:fldChar w:fldCharType="separate"/>
      </w:r>
      <w:r>
        <w:rPr>
          <w:rFonts w:ascii="Calibri" w:hAnsi="Calibri" w:eastAsia="宋体" w:cs="Calibri"/>
          <w:kern w:val="0"/>
          <w:sz w:val="22"/>
        </w:rPr>
        <w:t>前言</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1C56541B">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"_Toc24371148" </w:instrText>
      </w:r>
      <w:r>
        <w:fldChar w:fldCharType="separate"/>
      </w:r>
      <w:r>
        <w:rPr>
          <w:rFonts w:hint="eastAsia" w:ascii="宋体" w:hAnsi="宋体" w:eastAsia="宋体" w:cs="宋体"/>
          <w:kern w:val="0"/>
          <w:sz w:val="22"/>
          <w:lang w:val="en-US" w:eastAsia="zh-CN"/>
        </w:rPr>
        <w:t>山西省</w:t>
      </w:r>
      <w:r>
        <w:rPr>
          <w:rFonts w:hint="eastAsia" w:ascii="宋体" w:hAnsi="宋体" w:eastAsia="宋体" w:cs="宋体"/>
          <w:kern w:val="0"/>
          <w:sz w:val="22"/>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kern w:val="0"/>
          <w:sz w:val="22"/>
        </w:rPr>
        <w:t>企业</w:t>
      </w:r>
      <w:r>
        <w:rPr>
          <w:rFonts w:hint="eastAsia" w:ascii="宋体" w:hAnsi="宋体" w:eastAsia="宋体" w:cs="宋体"/>
          <w:kern w:val="0"/>
          <w:sz w:val="22"/>
          <w:lang w:val="en-US" w:eastAsia="zh-CN"/>
        </w:rPr>
        <w:t>服务</w:t>
      </w:r>
      <w:r>
        <w:rPr>
          <w:rFonts w:hint="eastAsia" w:ascii="宋体" w:hAnsi="宋体" w:eastAsia="宋体" w:cs="宋体"/>
          <w:kern w:val="0"/>
          <w:sz w:val="22"/>
        </w:rPr>
        <w:t>评价体系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7DCB2BF7">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"_Toc24371149" </w:instrText>
      </w:r>
      <w:r>
        <w:fldChar w:fldCharType="separate"/>
      </w:r>
      <w:r>
        <w:rPr>
          <w:rFonts w:ascii="宋体" w:hAnsi="宋体" w:eastAsia="宋体" w:cs="宋体"/>
          <w:kern w:val="0"/>
          <w:sz w:val="22"/>
        </w:rPr>
        <w:t>1 应用范围</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_Toc24371149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9162BE5">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"_Toc24371150" </w:instrText>
      </w:r>
      <w:r>
        <w:fldChar w:fldCharType="separate"/>
      </w:r>
      <w:r>
        <w:rPr>
          <w:rFonts w:ascii="宋体" w:hAnsi="宋体" w:eastAsia="宋体" w:cs="宋体"/>
          <w:kern w:val="0"/>
          <w:sz w:val="22"/>
        </w:rPr>
        <w:t>2 规范性引用文件</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_Toc24371150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EF9029C">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"_Toc24371151" </w:instrText>
      </w:r>
      <w:r>
        <w:fldChar w:fldCharType="separate"/>
      </w:r>
      <w:r>
        <w:rPr>
          <w:rFonts w:ascii="宋体" w:hAnsi="宋体" w:eastAsia="宋体" w:cs="宋体"/>
          <w:kern w:val="0"/>
          <w:sz w:val="22"/>
        </w:rPr>
        <w:t xml:space="preserve">3 </w:t>
      </w:r>
      <w:r>
        <w:rPr>
          <w:rFonts w:hint="eastAsia" w:ascii="宋体" w:hAnsi="宋体" w:eastAsia="宋体" w:cs="宋体"/>
          <w:kern w:val="0"/>
          <w:sz w:val="22"/>
          <w:lang w:val="en-US" w:eastAsia="zh-CN"/>
        </w:rPr>
        <w:t>服务</w:t>
      </w:r>
      <w:r>
        <w:rPr>
          <w:rFonts w:ascii="宋体" w:hAnsi="宋体" w:eastAsia="宋体" w:cs="宋体"/>
          <w:kern w:val="0"/>
          <w:sz w:val="22"/>
        </w:rPr>
        <w:t>评价内容</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_Toc24371151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092FFCD2">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"_Toc24371152" </w:instrText>
      </w:r>
      <w:r>
        <w:fldChar w:fldCharType="separate"/>
      </w:r>
      <w:r>
        <w:rPr>
          <w:rFonts w:ascii="宋体" w:hAnsi="宋体" w:eastAsia="宋体" w:cs="宋体"/>
          <w:kern w:val="0"/>
          <w:sz w:val="22"/>
        </w:rPr>
        <w:t xml:space="preserve">4 </w:t>
      </w:r>
      <w:r>
        <w:rPr>
          <w:rFonts w:hint="eastAsia" w:ascii="宋体" w:hAnsi="宋体" w:eastAsia="宋体" w:cs="宋体"/>
          <w:kern w:val="0"/>
          <w:sz w:val="22"/>
          <w:lang w:val="en-US" w:eastAsia="zh-CN"/>
        </w:rPr>
        <w:t>服务评价</w:t>
      </w:r>
      <w:r>
        <w:rPr>
          <w:rFonts w:ascii="宋体" w:hAnsi="宋体" w:eastAsia="宋体" w:cs="宋体"/>
          <w:kern w:val="0"/>
          <w:sz w:val="22"/>
        </w:rPr>
        <w:t>等级及表示方法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_Toc24371152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34C30B13">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"_Toc24371153" </w:instrText>
      </w:r>
      <w:r>
        <w:fldChar w:fldCharType="separate"/>
      </w:r>
      <w:r>
        <w:rPr>
          <w:rFonts w:ascii="宋体" w:hAnsi="宋体" w:eastAsia="宋体" w:cs="宋体"/>
          <w:kern w:val="0"/>
          <w:sz w:val="22"/>
        </w:rPr>
        <w:t xml:space="preserve">5 </w:t>
      </w:r>
      <w:r>
        <w:rPr>
          <w:rFonts w:hint="eastAsia" w:ascii="宋体" w:hAnsi="宋体" w:eastAsia="宋体" w:cs="宋体"/>
          <w:kern w:val="0"/>
          <w:sz w:val="22"/>
          <w:lang w:val="en-US" w:eastAsia="zh-CN"/>
        </w:rPr>
        <w:t>服务</w:t>
      </w:r>
      <w:r>
        <w:rPr>
          <w:rFonts w:ascii="宋体" w:hAnsi="宋体" w:eastAsia="宋体" w:cs="宋体"/>
          <w:kern w:val="0"/>
          <w:sz w:val="22"/>
        </w:rPr>
        <w:t>评价方法与指标体系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_Toc24371153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664AFC79">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"_Toc24371154" </w:instrText>
      </w:r>
      <w:r>
        <w:fldChar w:fldCharType="separate"/>
      </w:r>
      <w:r>
        <w:rPr>
          <w:rFonts w:ascii="宋体" w:hAnsi="宋体" w:eastAsia="宋体" w:cs="宋体"/>
          <w:kern w:val="0"/>
          <w:sz w:val="22"/>
        </w:rPr>
        <w:t xml:space="preserve">6 </w:t>
      </w:r>
      <w:r>
        <w:rPr>
          <w:rFonts w:hint="eastAsia" w:ascii="宋体" w:hAnsi="宋体" w:eastAsia="宋体" w:cs="宋体"/>
          <w:kern w:val="0"/>
          <w:sz w:val="22"/>
          <w:lang w:val="en-US" w:eastAsia="zh-CN"/>
        </w:rPr>
        <w:t>服务</w:t>
      </w:r>
      <w:r>
        <w:rPr>
          <w:rFonts w:ascii="宋体" w:hAnsi="宋体" w:eastAsia="宋体" w:cs="宋体"/>
          <w:kern w:val="0"/>
          <w:sz w:val="22"/>
        </w:rPr>
        <w:t>评价流程</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_Toc24371154 \h </w:instrText>
      </w:r>
      <w:r>
        <w:rPr>
          <w:rFonts w:ascii="Calibri" w:hAnsi="Calibri" w:eastAsia="宋体" w:cs="Calibri"/>
          <w:kern w:val="0"/>
          <w:sz w:val="22"/>
        </w:rPr>
        <w:fldChar w:fldCharType="separate"/>
      </w:r>
      <w:r>
        <w:rPr>
          <w:rFonts w:ascii="Calibri" w:hAnsi="Calibri" w:eastAsia="宋体" w:cs="Calibri"/>
          <w:kern w:val="0"/>
          <w:sz w:val="22"/>
        </w:rPr>
        <w:t>- 4 -</w:t>
      </w:r>
      <w:r>
        <w:rPr>
          <w:rFonts w:ascii="Calibri" w:hAnsi="Calibri" w:eastAsia="宋体" w:cs="Calibri"/>
          <w:kern w:val="0"/>
          <w:sz w:val="22"/>
        </w:rPr>
        <w:fldChar w:fldCharType="end"/>
      </w:r>
      <w:r>
        <w:rPr>
          <w:rFonts w:ascii="Calibri" w:hAnsi="Calibri" w:eastAsia="宋体" w:cs="Calibri"/>
          <w:kern w:val="0"/>
          <w:sz w:val="22"/>
        </w:rPr>
        <w:fldChar w:fldCharType="end"/>
      </w:r>
    </w:p>
    <w:p w14:paraId="5D12E8DF">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"_Toc24371156" </w:instrText>
      </w:r>
      <w:r>
        <w:fldChar w:fldCharType="separate"/>
      </w:r>
      <w:r>
        <w:rPr>
          <w:rFonts w:ascii="宋体" w:hAnsi="宋体" w:eastAsia="宋体" w:cs="宋体"/>
          <w:kern w:val="0"/>
          <w:sz w:val="22"/>
        </w:rPr>
        <w:t>附录A （规范性附录）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_Toc24371156 \h </w:instrText>
      </w:r>
      <w:r>
        <w:rPr>
          <w:rFonts w:ascii="Calibri" w:hAnsi="Calibri" w:eastAsia="宋体" w:cs="Calibri"/>
          <w:kern w:val="0"/>
          <w:sz w:val="22"/>
        </w:rPr>
        <w:fldChar w:fldCharType="separate"/>
      </w:r>
      <w:r>
        <w:rPr>
          <w:rFonts w:ascii="Calibri" w:hAnsi="Calibri" w:eastAsia="宋体" w:cs="Calibri"/>
          <w:kern w:val="0"/>
          <w:sz w:val="22"/>
        </w:rPr>
        <w:t>- 5 -</w:t>
      </w:r>
      <w:r>
        <w:rPr>
          <w:rFonts w:ascii="Calibri" w:hAnsi="Calibri" w:eastAsia="宋体" w:cs="Calibri"/>
          <w:kern w:val="0"/>
          <w:sz w:val="22"/>
        </w:rPr>
        <w:fldChar w:fldCharType="end"/>
      </w:r>
      <w:r>
        <w:rPr>
          <w:rFonts w:ascii="Calibri" w:hAnsi="Calibri" w:eastAsia="宋体" w:cs="Calibri"/>
          <w:kern w:val="0"/>
          <w:sz w:val="22"/>
        </w:rPr>
        <w:fldChar w:fldCharType="end"/>
      </w:r>
    </w:p>
    <w:p w14:paraId="663B0C60">
      <w:pPr>
        <w:rPr>
          <w:rFonts w:ascii="宋体" w:hAnsi="Times New Roman" w:eastAsia="宋体" w:cs="Times New Roman"/>
          <w:color w:val="000000"/>
          <w:szCs w:val="24"/>
        </w:rPr>
      </w:pPr>
      <w:r>
        <w:rPr>
          <w:rFonts w:ascii="宋体" w:hAnsi="宋体" w:eastAsia="宋体" w:cs="宋体"/>
          <w:color w:val="000000"/>
          <w:szCs w:val="24"/>
        </w:rPr>
        <w:fldChar w:fldCharType="end"/>
      </w:r>
    </w:p>
    <w:p w14:paraId="3419DDFC">
      <w:pPr>
        <w:keepNext/>
        <w:keepLines/>
        <w:spacing w:before="340" w:after="330" w:line="578" w:lineRule="auto"/>
        <w:outlineLvl w:val="0"/>
        <w:rPr>
          <w:rFonts w:ascii="宋体" w:hAnsi="Times New Roman" w:eastAsia="宋体" w:cs="Times New Roman"/>
          <w:color w:val="000000"/>
          <w:szCs w:val="24"/>
        </w:rPr>
      </w:pPr>
      <w:r>
        <w:rPr>
          <w:rFonts w:ascii="宋体" w:hAnsi="Times New Roman" w:eastAsia="宋体" w:cs="Times New Roman"/>
          <w:b/>
          <w:bCs/>
          <w:color w:val="000000"/>
          <w:kern w:val="44"/>
          <w:sz w:val="44"/>
          <w:szCs w:val="44"/>
        </w:rPr>
        <w:br w:type="page"/>
      </w:r>
    </w:p>
    <w:p w14:paraId="641301DB">
      <w:pPr>
        <w:keepNext/>
        <w:keepLines/>
        <w:spacing w:before="340" w:after="330" w:line="578" w:lineRule="auto"/>
        <w:jc w:val="center"/>
        <w:outlineLvl w:val="0"/>
        <w:rPr>
          <w:rFonts w:ascii="宋体" w:hAnsi="宋体" w:eastAsia="宋体" w:cs="宋体"/>
          <w:b/>
          <w:bCs/>
          <w:color w:val="000000"/>
          <w:kern w:val="44"/>
          <w:sz w:val="32"/>
          <w:szCs w:val="32"/>
        </w:rPr>
      </w:pPr>
      <w:bookmarkStart w:id="0" w:name="_Toc24371148"/>
      <w:r>
        <w:rPr>
          <w:rFonts w:hint="eastAsia" w:ascii="宋体" w:hAnsi="宋体" w:eastAsia="宋体" w:cs="宋体"/>
          <w:b/>
          <w:bCs/>
          <w:color w:val="000000"/>
          <w:kern w:val="44"/>
          <w:sz w:val="32"/>
          <w:szCs w:val="32"/>
          <w:lang w:val="en-US" w:eastAsia="zh-CN"/>
        </w:rPr>
        <w:t>山西省</w:t>
      </w:r>
      <w:r>
        <w:rPr>
          <w:rFonts w:hint="eastAsia" w:ascii="宋体" w:hAnsi="宋体" w:eastAsia="宋体" w:cs="宋体"/>
          <w:b/>
          <w:bCs/>
          <w:color w:val="000000"/>
          <w:kern w:val="44"/>
          <w:sz w:val="32"/>
          <w:szCs w:val="32"/>
        </w:rPr>
        <w:t>家装</w:t>
      </w:r>
      <w:r>
        <w:rPr>
          <w:rFonts w:hint="eastAsia" w:ascii="宋体" w:hAnsi="宋体" w:eastAsia="宋体" w:cs="宋体"/>
          <w:b/>
          <w:bCs/>
          <w:color w:val="000000"/>
          <w:kern w:val="44"/>
          <w:sz w:val="32"/>
          <w:szCs w:val="32"/>
          <w:lang w:eastAsia="zh-CN"/>
        </w:rPr>
        <w:t>（</w:t>
      </w:r>
      <w:r>
        <w:rPr>
          <w:rFonts w:hint="eastAsia" w:ascii="宋体" w:hAnsi="宋体" w:eastAsia="宋体" w:cs="宋体"/>
          <w:b/>
          <w:bCs/>
          <w:color w:val="000000"/>
          <w:kern w:val="44"/>
          <w:sz w:val="32"/>
          <w:szCs w:val="32"/>
          <w:lang w:val="en-US" w:eastAsia="zh-CN"/>
        </w:rPr>
        <w:t>软装</w:t>
      </w:r>
      <w:r>
        <w:rPr>
          <w:rFonts w:hint="eastAsia" w:ascii="宋体" w:hAnsi="宋体" w:eastAsia="宋体" w:cs="宋体"/>
          <w:b/>
          <w:bCs/>
          <w:color w:val="000000"/>
          <w:kern w:val="44"/>
          <w:sz w:val="32"/>
          <w:szCs w:val="32"/>
          <w:lang w:eastAsia="zh-CN"/>
        </w:rPr>
        <w:t>）</w:t>
      </w:r>
      <w:r>
        <w:rPr>
          <w:rFonts w:hint="eastAsia" w:ascii="宋体" w:hAnsi="宋体" w:eastAsia="宋体" w:cs="宋体"/>
          <w:b/>
          <w:bCs/>
          <w:color w:val="000000"/>
          <w:kern w:val="44"/>
          <w:sz w:val="32"/>
          <w:szCs w:val="32"/>
        </w:rPr>
        <w:t>企业</w:t>
      </w:r>
      <w:r>
        <w:rPr>
          <w:rFonts w:hint="eastAsia" w:ascii="宋体" w:hAnsi="宋体" w:eastAsia="宋体" w:cs="宋体"/>
          <w:b/>
          <w:bCs/>
          <w:color w:val="000000"/>
          <w:kern w:val="44"/>
          <w:sz w:val="32"/>
          <w:szCs w:val="32"/>
          <w:lang w:val="en-US" w:eastAsia="zh-CN"/>
        </w:rPr>
        <w:t>服务</w:t>
      </w:r>
      <w:r>
        <w:rPr>
          <w:rFonts w:hint="eastAsia" w:ascii="宋体" w:hAnsi="宋体" w:eastAsia="宋体" w:cs="宋体"/>
          <w:b/>
          <w:bCs/>
          <w:color w:val="000000"/>
          <w:kern w:val="44"/>
          <w:sz w:val="32"/>
          <w:szCs w:val="32"/>
        </w:rPr>
        <w:t>评价</w:t>
      </w:r>
      <w:bookmarkEnd w:id="0"/>
      <w:r>
        <w:rPr>
          <w:rFonts w:hint="eastAsia" w:ascii="宋体" w:hAnsi="宋体" w:eastAsia="宋体" w:cs="宋体"/>
          <w:b/>
          <w:bCs/>
          <w:color w:val="000000"/>
          <w:kern w:val="44"/>
          <w:sz w:val="32"/>
          <w:szCs w:val="32"/>
        </w:rPr>
        <w:t>体系</w:t>
      </w:r>
    </w:p>
    <w:p w14:paraId="42683C4E">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1" w:name="_Toc209581061"/>
      <w:bookmarkStart w:id="2" w:name="_Toc307588701"/>
      <w:bookmarkStart w:id="3" w:name="_Toc306631757"/>
      <w:bookmarkStart w:id="4" w:name="_Toc396315853"/>
      <w:bookmarkStart w:id="5" w:name="_Toc203292952"/>
      <w:bookmarkStart w:id="6" w:name="_Toc24371149"/>
      <w:bookmarkStart w:id="7" w:name="_Toc203292050"/>
      <w:bookmarkStart w:id="8" w:name="_Toc203292886"/>
      <w:bookmarkStart w:id="9" w:name="_Toc210303697"/>
      <w:r>
        <w:rPr>
          <w:rFonts w:ascii="宋体" w:hAnsi="宋体" w:eastAsia="宋体" w:cs="宋体"/>
          <w:b/>
          <w:bCs/>
          <w:color w:val="000000"/>
          <w:kern w:val="44"/>
          <w:sz w:val="28"/>
          <w:szCs w:val="28"/>
        </w:rPr>
        <w:t xml:space="preserve">1 </w:t>
      </w:r>
      <w:r>
        <w:rPr>
          <w:rFonts w:hint="eastAsia" w:ascii="宋体" w:hAnsi="宋体" w:eastAsia="宋体" w:cs="宋体"/>
          <w:b/>
          <w:bCs/>
          <w:color w:val="000000"/>
          <w:kern w:val="44"/>
          <w:sz w:val="28"/>
          <w:szCs w:val="28"/>
        </w:rPr>
        <w:t>应用范围</w:t>
      </w:r>
      <w:bookmarkEnd w:id="1"/>
      <w:bookmarkEnd w:id="2"/>
      <w:bookmarkEnd w:id="3"/>
      <w:bookmarkEnd w:id="4"/>
      <w:bookmarkEnd w:id="5"/>
      <w:bookmarkEnd w:id="6"/>
      <w:bookmarkEnd w:id="7"/>
      <w:bookmarkEnd w:id="8"/>
      <w:bookmarkEnd w:id="9"/>
    </w:p>
    <w:p w14:paraId="2ACE34DE">
      <w:pPr>
        <w:widowControl/>
        <w:autoSpaceDE w:val="0"/>
        <w:autoSpaceDN w:val="0"/>
        <w:spacing w:line="360" w:lineRule="auto"/>
        <w:ind w:firstLine="424" w:firstLineChars="202"/>
        <w:rPr>
          <w:rFonts w:ascii="宋体" w:hAnsi="Times New Roman" w:eastAsia="宋体" w:cs="Times New Roman"/>
          <w:color w:val="000000"/>
          <w:kern w:val="0"/>
          <w:szCs w:val="24"/>
        </w:rPr>
      </w:pPr>
      <w:r>
        <w:rPr>
          <w:rFonts w:hint="eastAsia" w:ascii="宋体" w:hAnsi="宋体" w:eastAsia="宋体" w:cs="宋体"/>
          <w:color w:val="000000"/>
          <w:kern w:val="0"/>
          <w:szCs w:val="24"/>
        </w:rPr>
        <w:t>本体系规定了</w:t>
      </w:r>
      <w:r>
        <w:rPr>
          <w:rFonts w:hint="eastAsia" w:ascii="宋体" w:hAnsi="宋体" w:eastAsia="宋体" w:cs="宋体"/>
          <w:color w:val="000000"/>
          <w:kern w:val="0"/>
          <w:szCs w:val="24"/>
          <w:lang w:val="en-US" w:eastAsia="zh-CN"/>
        </w:rPr>
        <w:t>山西省</w:t>
      </w:r>
      <w:r>
        <w:rPr>
          <w:rFonts w:hint="eastAsia" w:ascii="宋体" w:hAnsi="宋体" w:eastAsia="宋体" w:cs="宋体"/>
          <w:color w:val="000000"/>
          <w:kern w:val="0"/>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color w:val="000000"/>
          <w:kern w:val="0"/>
          <w:szCs w:val="24"/>
        </w:rPr>
        <w:t>企业</w:t>
      </w:r>
      <w:r>
        <w:rPr>
          <w:rFonts w:hint="eastAsia" w:ascii="宋体" w:hAnsi="宋体" w:eastAsia="宋体" w:cs="宋体"/>
          <w:color w:val="000000"/>
          <w:kern w:val="0"/>
          <w:szCs w:val="24"/>
          <w:lang w:val="en-US" w:eastAsia="zh-CN"/>
        </w:rPr>
        <w:t>服务</w:t>
      </w:r>
      <w:r>
        <w:rPr>
          <w:rFonts w:hint="eastAsia" w:ascii="宋体" w:hAnsi="宋体" w:eastAsia="宋体" w:cs="宋体"/>
          <w:color w:val="000000"/>
          <w:kern w:val="0"/>
          <w:szCs w:val="24"/>
        </w:rPr>
        <w:t>评价的方法和内容、等级及各等级的含义、评价流程、评价报告的撰写要求、评价指标体系及其权重分配规则以及信息的归集、建档及保密等。</w:t>
      </w:r>
    </w:p>
    <w:p w14:paraId="7256061C">
      <w:pPr>
        <w:widowControl/>
        <w:autoSpaceDE w:val="0"/>
        <w:autoSpaceDN w:val="0"/>
        <w:spacing w:line="360" w:lineRule="auto"/>
        <w:ind w:firstLine="424" w:firstLineChars="202"/>
        <w:rPr>
          <w:rFonts w:ascii="宋体" w:hAnsi="宋体" w:eastAsia="宋体" w:cs="宋体"/>
          <w:color w:val="000000"/>
          <w:kern w:val="0"/>
          <w:szCs w:val="24"/>
        </w:rPr>
      </w:pPr>
      <w:r>
        <w:rPr>
          <w:rFonts w:hint="eastAsia" w:ascii="宋体" w:hAnsi="宋体" w:eastAsia="宋体" w:cs="宋体"/>
          <w:color w:val="000000"/>
          <w:kern w:val="0"/>
          <w:szCs w:val="24"/>
        </w:rPr>
        <w:t>本体系适用于评价机构对</w:t>
      </w:r>
      <w:r>
        <w:rPr>
          <w:rFonts w:hint="eastAsia" w:ascii="宋体" w:hAnsi="宋体" w:eastAsia="宋体" w:cs="宋体"/>
          <w:color w:val="000000"/>
          <w:kern w:val="0"/>
          <w:szCs w:val="24"/>
          <w:lang w:val="en-US" w:eastAsia="zh-CN"/>
        </w:rPr>
        <w:t>山西省内</w:t>
      </w:r>
      <w:r>
        <w:rPr>
          <w:rFonts w:hint="eastAsia" w:ascii="宋体" w:hAnsi="宋体" w:eastAsia="宋体" w:cs="宋体"/>
          <w:color w:val="000000"/>
          <w:kern w:val="0"/>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color w:val="000000"/>
          <w:kern w:val="0"/>
          <w:szCs w:val="24"/>
        </w:rPr>
        <w:t>企业主体开展的</w:t>
      </w:r>
      <w:r>
        <w:rPr>
          <w:rFonts w:hint="eastAsia" w:ascii="宋体" w:hAnsi="宋体" w:eastAsia="宋体" w:cs="宋体"/>
          <w:color w:val="000000"/>
          <w:kern w:val="0"/>
          <w:szCs w:val="24"/>
          <w:lang w:val="en-US" w:eastAsia="zh-CN"/>
        </w:rPr>
        <w:t>服务</w:t>
      </w:r>
      <w:r>
        <w:rPr>
          <w:rFonts w:hint="eastAsia" w:ascii="宋体" w:hAnsi="宋体" w:eastAsia="宋体" w:cs="宋体"/>
          <w:color w:val="000000"/>
          <w:kern w:val="0"/>
          <w:szCs w:val="24"/>
        </w:rPr>
        <w:t>评价活动。</w:t>
      </w:r>
    </w:p>
    <w:p w14:paraId="7FF43438">
      <w:pPr>
        <w:widowControl/>
        <w:autoSpaceDE w:val="0"/>
        <w:autoSpaceDN w:val="0"/>
        <w:spacing w:line="360" w:lineRule="auto"/>
        <w:ind w:firstLine="424" w:firstLineChars="202"/>
        <w:rPr>
          <w:rFonts w:ascii="宋体" w:hAnsi="Times New Roman" w:eastAsia="宋体" w:cs="Times New Roman"/>
          <w:color w:val="000000"/>
          <w:kern w:val="0"/>
          <w:szCs w:val="24"/>
        </w:rPr>
      </w:pPr>
      <w:r>
        <w:rPr>
          <w:rFonts w:hint="eastAsia" w:ascii="宋体" w:hAnsi="宋体" w:eastAsia="宋体" w:cs="宋体"/>
          <w:color w:val="000000"/>
          <w:kern w:val="0"/>
          <w:szCs w:val="24"/>
        </w:rPr>
        <w:t>本体系定义的受评主体指为满足终端个体消费者对家庭居住环境装修需求而进行集室内设计</w:t>
      </w:r>
      <w:r>
        <w:rPr>
          <w:rFonts w:hint="eastAsia" w:ascii="宋体" w:hAnsi="宋体" w:eastAsia="宋体" w:cs="宋体"/>
          <w:color w:val="000000"/>
          <w:kern w:val="0"/>
          <w:szCs w:val="24"/>
          <w:lang w:eastAsia="zh-CN"/>
        </w:rPr>
        <w:t>（</w:t>
      </w:r>
      <w:r>
        <w:rPr>
          <w:rFonts w:hint="eastAsia" w:ascii="宋体" w:hAnsi="宋体" w:eastAsia="宋体" w:cs="宋体"/>
          <w:color w:val="000000"/>
          <w:kern w:val="0"/>
          <w:szCs w:val="24"/>
          <w:lang w:val="en-US" w:eastAsia="zh-CN"/>
        </w:rPr>
        <w:t>软装设计</w:t>
      </w:r>
      <w:r>
        <w:rPr>
          <w:rFonts w:hint="eastAsia" w:ascii="宋体" w:hAnsi="宋体" w:eastAsia="宋体" w:cs="宋体"/>
          <w:color w:val="000000"/>
          <w:kern w:val="0"/>
          <w:szCs w:val="24"/>
          <w:lang w:eastAsia="zh-CN"/>
        </w:rPr>
        <w:t>）</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建筑装饰</w:t>
      </w:r>
      <w:r>
        <w:rPr>
          <w:rFonts w:hint="eastAsia" w:ascii="宋体" w:hAnsi="宋体" w:eastAsia="宋体" w:cs="宋体"/>
          <w:color w:val="000000"/>
          <w:kern w:val="0"/>
          <w:szCs w:val="24"/>
        </w:rPr>
        <w:t>材料供给、工程施工于一体的专业化家装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color w:val="000000"/>
          <w:kern w:val="0"/>
          <w:szCs w:val="24"/>
        </w:rPr>
        <w:t>公司。</w:t>
      </w:r>
      <w:bookmarkStart w:id="10" w:name="_Toc209581062"/>
      <w:bookmarkStart w:id="11" w:name="_Toc203292887"/>
      <w:bookmarkStart w:id="12" w:name="_Toc307588702"/>
      <w:bookmarkStart w:id="13" w:name="_Toc203292953"/>
      <w:bookmarkStart w:id="14" w:name="_Toc306631758"/>
      <w:bookmarkStart w:id="15" w:name="_Toc210303698"/>
      <w:bookmarkStart w:id="16" w:name="_Toc396315854"/>
      <w:bookmarkStart w:id="17" w:name="_Toc203292052"/>
    </w:p>
    <w:p w14:paraId="637AFA2D">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18" w:name="_Toc24371150"/>
      <w:r>
        <w:rPr>
          <w:rFonts w:ascii="宋体" w:hAnsi="宋体" w:eastAsia="宋体" w:cs="宋体"/>
          <w:b/>
          <w:bCs/>
          <w:color w:val="000000"/>
          <w:kern w:val="44"/>
          <w:sz w:val="28"/>
          <w:szCs w:val="28"/>
        </w:rPr>
        <w:t xml:space="preserve">2 </w:t>
      </w:r>
      <w:r>
        <w:rPr>
          <w:rFonts w:hint="eastAsia" w:ascii="宋体" w:hAnsi="宋体" w:eastAsia="宋体" w:cs="宋体"/>
          <w:b/>
          <w:bCs/>
          <w:color w:val="000000"/>
          <w:kern w:val="44"/>
          <w:sz w:val="28"/>
          <w:szCs w:val="28"/>
        </w:rPr>
        <w:t>规范性引用文件</w:t>
      </w:r>
      <w:bookmarkEnd w:id="10"/>
      <w:bookmarkEnd w:id="11"/>
      <w:bookmarkEnd w:id="12"/>
      <w:bookmarkEnd w:id="13"/>
      <w:bookmarkEnd w:id="14"/>
      <w:bookmarkEnd w:id="15"/>
      <w:bookmarkEnd w:id="16"/>
      <w:bookmarkEnd w:id="18"/>
    </w:p>
    <w:p w14:paraId="54BA07C9">
      <w:pPr>
        <w:widowControl/>
        <w:autoSpaceDE w:val="0"/>
        <w:autoSpaceDN w:val="0"/>
        <w:spacing w:line="360" w:lineRule="auto"/>
        <w:ind w:firstLine="424" w:firstLineChars="202"/>
        <w:rPr>
          <w:rFonts w:ascii="宋体" w:hAnsi="宋体" w:eastAsia="宋体" w:cs="Times New Roman"/>
          <w:color w:val="000000"/>
          <w:kern w:val="0"/>
          <w:szCs w:val="21"/>
        </w:rPr>
      </w:pPr>
      <w:r>
        <w:rPr>
          <w:rFonts w:hint="eastAsia" w:ascii="宋体" w:hAnsi="宋体" w:eastAsia="宋体" w:cs="宋体"/>
          <w:color w:val="000000"/>
          <w:kern w:val="0"/>
          <w:szCs w:val="21"/>
        </w:rPr>
        <w:t>下列文件中的条款通过本体系的引用而成为本体系的条款。凡是注日期的引用文件，其随后所有的修改单（不包括勘误的内容）或修订版均不适用于本体系。然而，鼓励根据本体系达成协议的各方研究是否可使用这些文件的最新版本。凡是不注日期的引用文件，其最新版本适用于本体系。</w:t>
      </w:r>
    </w:p>
    <w:bookmarkEnd w:id="17"/>
    <w:p w14:paraId="3A71FD1A">
      <w:pPr>
        <w:spacing w:line="360" w:lineRule="auto"/>
        <w:ind w:firstLine="525" w:firstLineChars="250"/>
        <w:rPr>
          <w:rFonts w:ascii="宋体" w:hAnsi="Times New Roman" w:eastAsia="宋体" w:cs="Times New Roman"/>
          <w:color w:val="000000"/>
          <w:szCs w:val="24"/>
        </w:rPr>
      </w:pPr>
      <w:bookmarkStart w:id="19" w:name="_Toc210303699"/>
      <w:bookmarkStart w:id="20" w:name="_Toc203292954"/>
      <w:bookmarkStart w:id="21" w:name="_Toc203292888"/>
      <w:bookmarkStart w:id="22" w:name="_Toc209581063"/>
      <w:bookmarkStart w:id="23" w:name="_Toc307588703"/>
      <w:bookmarkStart w:id="24" w:name="_Toc203292053"/>
      <w:bookmarkStart w:id="25" w:name="_Toc396315855"/>
      <w:bookmarkStart w:id="26" w:name="_Toc306631759"/>
      <w:r>
        <w:rPr>
          <w:rFonts w:ascii="宋体" w:hAnsi="宋体" w:eastAsia="宋体" w:cs="宋体"/>
          <w:color w:val="000000"/>
          <w:szCs w:val="24"/>
        </w:rPr>
        <w:t xml:space="preserve">GB/T 22117—2008  </w:t>
      </w:r>
      <w:r>
        <w:rPr>
          <w:rFonts w:hint="eastAsia" w:ascii="宋体" w:hAnsi="宋体" w:eastAsia="宋体" w:cs="宋体"/>
          <w:color w:val="000000"/>
          <w:szCs w:val="24"/>
        </w:rPr>
        <w:t>信用</w:t>
      </w:r>
      <w:r>
        <w:rPr>
          <w:rFonts w:ascii="宋体" w:hAnsi="宋体" w:eastAsia="宋体" w:cs="宋体"/>
          <w:color w:val="000000"/>
          <w:szCs w:val="24"/>
        </w:rPr>
        <w:t xml:space="preserve">  </w:t>
      </w:r>
      <w:r>
        <w:rPr>
          <w:rFonts w:hint="eastAsia" w:ascii="宋体" w:hAnsi="宋体" w:eastAsia="宋体" w:cs="宋体"/>
          <w:color w:val="000000"/>
          <w:szCs w:val="24"/>
        </w:rPr>
        <w:t>基本术语</w:t>
      </w:r>
    </w:p>
    <w:p w14:paraId="026A964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22116—2008  </w:t>
      </w:r>
      <w:r>
        <w:rPr>
          <w:rFonts w:hint="eastAsia" w:ascii="宋体" w:hAnsi="宋体" w:eastAsia="宋体" w:cs="宋体"/>
          <w:color w:val="000000"/>
          <w:szCs w:val="24"/>
        </w:rPr>
        <w:t>企业信用等级表示方法</w:t>
      </w:r>
    </w:p>
    <w:p w14:paraId="0877EF7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w:t>
      </w:r>
      <w:r>
        <w:rPr>
          <w:rFonts w:hint="eastAsia" w:ascii="宋体" w:hAnsi="宋体" w:eastAsia="宋体" w:cs="宋体"/>
          <w:color w:val="000000"/>
          <w:szCs w:val="24"/>
        </w:rPr>
        <w:t>23793</w:t>
      </w:r>
      <w:r>
        <w:rPr>
          <w:rFonts w:ascii="宋体" w:hAnsi="宋体" w:eastAsia="宋体" w:cs="宋体"/>
          <w:color w:val="000000"/>
          <w:szCs w:val="24"/>
        </w:rPr>
        <w:t>—</w:t>
      </w:r>
      <w:r>
        <w:rPr>
          <w:rFonts w:hint="eastAsia" w:ascii="宋体" w:hAnsi="宋体" w:eastAsia="宋体" w:cs="宋体"/>
          <w:color w:val="000000"/>
          <w:szCs w:val="24"/>
        </w:rPr>
        <w:t>2009  合格供应商信用评价规范</w:t>
      </w:r>
    </w:p>
    <w:p w14:paraId="0346CA19">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GB/T 26819—2011</w:t>
      </w:r>
      <w:r>
        <w:rPr>
          <w:rFonts w:hint="eastAsia" w:ascii="宋体" w:hAnsi="宋体" w:eastAsia="宋体" w:cs="宋体"/>
          <w:color w:val="000000"/>
          <w:szCs w:val="24"/>
        </w:rPr>
        <w:t xml:space="preserve"> </w:t>
      </w:r>
      <w:r>
        <w:rPr>
          <w:rFonts w:ascii="宋体" w:hAnsi="宋体" w:eastAsia="宋体" w:cs="宋体"/>
          <w:color w:val="000000"/>
          <w:szCs w:val="24"/>
        </w:rPr>
        <w:t xml:space="preserve"> </w:t>
      </w:r>
      <w:r>
        <w:rPr>
          <w:rFonts w:hint="eastAsia" w:ascii="宋体" w:hAnsi="宋体" w:eastAsia="宋体" w:cs="宋体"/>
          <w:color w:val="000000"/>
          <w:szCs w:val="24"/>
        </w:rPr>
        <w:t>企业信用主体标示规范</w:t>
      </w:r>
    </w:p>
    <w:p w14:paraId="6B6F42E7">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27" w:name="_Toc24371151"/>
      <w:r>
        <w:rPr>
          <w:rFonts w:ascii="宋体" w:hAnsi="宋体" w:eastAsia="宋体" w:cs="宋体"/>
          <w:b/>
          <w:bCs/>
          <w:color w:val="000000"/>
          <w:kern w:val="44"/>
          <w:sz w:val="28"/>
          <w:szCs w:val="28"/>
        </w:rPr>
        <w:t xml:space="preserve">3 </w:t>
      </w:r>
      <w:bookmarkEnd w:id="19"/>
      <w:bookmarkEnd w:id="20"/>
      <w:bookmarkEnd w:id="21"/>
      <w:bookmarkEnd w:id="22"/>
      <w:bookmarkEnd w:id="23"/>
      <w:bookmarkEnd w:id="24"/>
      <w:bookmarkEnd w:id="25"/>
      <w:bookmarkEnd w:id="26"/>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评价内容</w:t>
      </w:r>
      <w:bookmarkEnd w:id="27"/>
    </w:p>
    <w:p w14:paraId="1327617C">
      <w:pPr>
        <w:spacing w:line="360" w:lineRule="auto"/>
        <w:ind w:right="-333" w:rightChars="-159" w:firstLine="482"/>
        <w:rPr>
          <w:rFonts w:ascii="Arial" w:hAnsi="Arial" w:eastAsia="宋体" w:cs="Arial"/>
          <w:kern w:val="0"/>
          <w:szCs w:val="21"/>
        </w:rPr>
      </w:pPr>
      <w:bookmarkStart w:id="28" w:name="_Toc396315856"/>
      <w:r>
        <w:rPr>
          <w:rFonts w:hint="eastAsia" w:ascii="Times New Roman" w:hAnsi="Times New Roman" w:eastAsia="宋体" w:cs="Times New Roman"/>
          <w:szCs w:val="24"/>
        </w:rPr>
        <w:t xml:space="preserve">---  </w:t>
      </w:r>
      <w:r>
        <w:rPr>
          <w:rFonts w:hint="eastAsia" w:ascii="Arial" w:hAnsi="Arial" w:eastAsia="宋体" w:cs="Arial"/>
          <w:kern w:val="0"/>
          <w:szCs w:val="21"/>
        </w:rPr>
        <w:t>企业基本素质；</w:t>
      </w:r>
    </w:p>
    <w:p w14:paraId="08F9271F">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经营管理水平；</w:t>
      </w:r>
    </w:p>
    <w:p w14:paraId="1337D4CA">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企业财务实力；</w:t>
      </w:r>
    </w:p>
    <w:p w14:paraId="38BA0D2B">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公共信用记录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6AF96457">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投诉记录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3F67AE5E">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受表彰情况等。</w:t>
      </w:r>
      <w:r>
        <w:rPr>
          <w:rFonts w:hint="eastAsia" w:ascii="Times New Roman" w:hAnsi="Times New Roman" w:eastAsia="宋体" w:cs="Times New Roman"/>
          <w:szCs w:val="24"/>
        </w:rPr>
        <w:t xml:space="preserve"> </w:t>
      </w:r>
    </w:p>
    <w:p w14:paraId="519C9BB8">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29" w:name="_Toc24371152"/>
      <w:r>
        <w:rPr>
          <w:rFonts w:ascii="宋体" w:hAnsi="宋体" w:eastAsia="宋体" w:cs="宋体"/>
          <w:b/>
          <w:bCs/>
          <w:color w:val="000000"/>
          <w:kern w:val="44"/>
          <w:sz w:val="28"/>
          <w:szCs w:val="28"/>
        </w:rPr>
        <w:t xml:space="preserve">4 </w:t>
      </w:r>
      <w:bookmarkEnd w:id="28"/>
      <w:r>
        <w:rPr>
          <w:rFonts w:hint="eastAsia" w:ascii="宋体" w:hAnsi="宋体" w:eastAsia="宋体" w:cs="宋体"/>
          <w:b/>
          <w:bCs/>
          <w:color w:val="000000"/>
          <w:kern w:val="44"/>
          <w:sz w:val="28"/>
          <w:szCs w:val="28"/>
          <w:lang w:val="en-US" w:eastAsia="zh-CN"/>
        </w:rPr>
        <w:t>服务评价</w:t>
      </w:r>
      <w:r>
        <w:rPr>
          <w:rFonts w:hint="eastAsia" w:ascii="宋体" w:hAnsi="宋体" w:eastAsia="宋体" w:cs="宋体"/>
          <w:b/>
          <w:bCs/>
          <w:color w:val="000000"/>
          <w:kern w:val="44"/>
          <w:sz w:val="28"/>
          <w:szCs w:val="28"/>
        </w:rPr>
        <w:t>等级及表示方法</w:t>
      </w:r>
      <w:bookmarkEnd w:id="29"/>
    </w:p>
    <w:p w14:paraId="71080DEA">
      <w:pPr>
        <w:spacing w:line="360" w:lineRule="auto"/>
        <w:ind w:firstLine="424" w:firstLineChars="202"/>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山西省</w:t>
      </w:r>
      <w:r>
        <w:rPr>
          <w:rFonts w:hint="eastAsia" w:ascii="宋体" w:hAnsi="宋体" w:eastAsia="宋体" w:cs="宋体"/>
          <w:color w:val="000000"/>
          <w:kern w:val="0"/>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color w:val="000000"/>
          <w:kern w:val="0"/>
          <w:szCs w:val="24"/>
        </w:rPr>
        <w:t>企业</w:t>
      </w:r>
      <w:r>
        <w:rPr>
          <w:rFonts w:hint="eastAsia" w:ascii="宋体" w:hAnsi="宋体" w:eastAsia="宋体" w:cs="宋体"/>
          <w:color w:val="000000"/>
          <w:kern w:val="0"/>
          <w:szCs w:val="24"/>
          <w:lang w:val="en-US" w:eastAsia="zh-CN"/>
        </w:rPr>
        <w:t>服务评价</w:t>
      </w:r>
      <w:r>
        <w:rPr>
          <w:rFonts w:hint="eastAsia" w:ascii="宋体" w:hAnsi="宋体" w:eastAsia="宋体" w:cs="宋体"/>
          <w:color w:val="000000"/>
          <w:kern w:val="0"/>
          <w:szCs w:val="24"/>
        </w:rPr>
        <w:t>等级分为</w:t>
      </w:r>
      <w:r>
        <w:rPr>
          <w:rFonts w:hint="eastAsia" w:ascii="宋体" w:hAnsi="宋体" w:eastAsia="宋体" w:cs="宋体"/>
          <w:color w:val="000000"/>
          <w:kern w:val="0"/>
          <w:szCs w:val="24"/>
          <w:lang w:val="en-US" w:eastAsia="zh-CN"/>
        </w:rPr>
        <w:t>三</w:t>
      </w:r>
      <w:r>
        <w:rPr>
          <w:rFonts w:hint="eastAsia" w:ascii="宋体" w:hAnsi="宋体" w:eastAsia="宋体" w:cs="宋体"/>
          <w:color w:val="000000"/>
          <w:kern w:val="0"/>
          <w:szCs w:val="24"/>
        </w:rPr>
        <w:t>级，依次用</w:t>
      </w: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表示，不具备评价条件的主体信用等级以NR表示。</w:t>
      </w:r>
    </w:p>
    <w:p w14:paraId="43828EEB">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：受评主体经营的稳定性极强，对履行相关经济和社会责任能够提供极强的安全保障，尽管环境因素可能会发生变化，但这些变化对受评主体的影响不会从根本上损害其相当稳定的发展趋势，违约风险极低。</w:t>
      </w:r>
    </w:p>
    <w:p w14:paraId="66DBE0EF">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：受评主体经营的稳定性很强，对履行相关经济和社会责任能够提供很好的安全保障，环境因素发生不利变化时其稳定性可能会受到影响，但违约风险很低。</w:t>
      </w:r>
    </w:p>
    <w:p w14:paraId="23C799E9">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：受评主体经营的稳定性较强，对履行相关经济和社会责任能够提供较好的安全保障，对于抵御环境发生不利变化时的能力较弱，但违约风险较低。</w:t>
      </w:r>
    </w:p>
    <w:p w14:paraId="0FE28EF6">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30" w:name="_Toc396315861"/>
      <w:bookmarkStart w:id="31" w:name="_Toc24371153"/>
      <w:r>
        <w:rPr>
          <w:rFonts w:ascii="宋体" w:hAnsi="宋体" w:eastAsia="宋体" w:cs="宋体"/>
          <w:b/>
          <w:bCs/>
          <w:color w:val="000000"/>
          <w:kern w:val="44"/>
          <w:sz w:val="28"/>
          <w:szCs w:val="28"/>
        </w:rPr>
        <w:t xml:space="preserve">5 </w:t>
      </w:r>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评价方法</w:t>
      </w:r>
      <w:bookmarkEnd w:id="30"/>
      <w:r>
        <w:rPr>
          <w:rFonts w:hint="eastAsia" w:ascii="宋体" w:hAnsi="宋体" w:eastAsia="宋体" w:cs="宋体"/>
          <w:b/>
          <w:bCs/>
          <w:color w:val="000000"/>
          <w:kern w:val="44"/>
          <w:sz w:val="28"/>
          <w:szCs w:val="28"/>
        </w:rPr>
        <w:t>与指标体系</w:t>
      </w:r>
      <w:bookmarkEnd w:id="31"/>
    </w:p>
    <w:p w14:paraId="4BAD6B6B">
      <w:pPr>
        <w:spacing w:line="360" w:lineRule="auto"/>
        <w:jc w:val="left"/>
        <w:rPr>
          <w:rFonts w:ascii="宋体" w:hAnsi="Times New Roman" w:eastAsia="宋体" w:cs="Times New Roman"/>
          <w:b/>
          <w:bCs/>
          <w:color w:val="000000"/>
          <w:szCs w:val="24"/>
        </w:rPr>
      </w:pPr>
      <w:bookmarkStart w:id="32" w:name="_Toc351128797"/>
      <w:bookmarkStart w:id="33" w:name="_Toc310000285"/>
      <w:r>
        <w:rPr>
          <w:rFonts w:ascii="宋体" w:hAnsi="宋体" w:eastAsia="宋体" w:cs="宋体"/>
          <w:b/>
          <w:bCs/>
          <w:color w:val="000000"/>
          <w:szCs w:val="24"/>
        </w:rPr>
        <w:t xml:space="preserve">5.1 </w:t>
      </w:r>
      <w:r>
        <w:rPr>
          <w:rFonts w:hint="eastAsia" w:ascii="宋体" w:hAnsi="宋体" w:eastAsia="宋体" w:cs="宋体"/>
          <w:b/>
          <w:bCs/>
          <w:color w:val="000000"/>
          <w:szCs w:val="24"/>
        </w:rPr>
        <w:t>指导思想</w:t>
      </w:r>
      <w:bookmarkEnd w:id="32"/>
      <w:bookmarkEnd w:id="33"/>
    </w:p>
    <w:p w14:paraId="4D706EFA">
      <w:pPr>
        <w:widowControl/>
        <w:spacing w:line="360" w:lineRule="auto"/>
        <w:ind w:firstLine="420" w:firstLineChars="200"/>
        <w:jc w:val="left"/>
        <w:rPr>
          <w:rFonts w:ascii="宋体" w:hAnsi="Times New Roman" w:eastAsia="宋体" w:cs="Times New Roman"/>
          <w:color w:val="000000"/>
          <w:szCs w:val="24"/>
        </w:rPr>
      </w:pPr>
      <w:r>
        <w:rPr>
          <w:rFonts w:hint="eastAsia" w:ascii="宋体" w:hAnsi="宋体" w:eastAsia="宋体" w:cs="宋体"/>
          <w:color w:val="000000"/>
          <w:szCs w:val="24"/>
          <w:lang w:val="en-US" w:eastAsia="zh-CN"/>
        </w:rPr>
        <w:t>山西省</w:t>
      </w:r>
      <w:r>
        <w:rPr>
          <w:rFonts w:hint="eastAsia" w:ascii="宋体" w:hAnsi="宋体" w:eastAsia="宋体" w:cs="宋体"/>
          <w:color w:val="000000"/>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评价方法构建的指导思想是：</w:t>
      </w:r>
    </w:p>
    <w:p w14:paraId="0E307378">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（1）遵循国际信用评价市场普遍接受的信用评价的价值观、理念及指标框架的原则；</w:t>
      </w:r>
    </w:p>
    <w:p w14:paraId="685E8A34">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2</w:t>
      </w:r>
      <w:r>
        <w:rPr>
          <w:rFonts w:hint="eastAsia" w:ascii="宋体" w:hAnsi="宋体" w:eastAsia="宋体" w:cs="宋体"/>
          <w:color w:val="000000"/>
          <w:szCs w:val="21"/>
        </w:rPr>
        <w:t>）坚持定性分析与定量分析相结合的方法论；</w:t>
      </w:r>
    </w:p>
    <w:p w14:paraId="72F9642F">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3</w:t>
      </w:r>
      <w:r>
        <w:rPr>
          <w:rFonts w:hint="eastAsia" w:ascii="宋体" w:hAnsi="宋体" w:eastAsia="宋体" w:cs="宋体"/>
          <w:color w:val="000000"/>
          <w:szCs w:val="21"/>
        </w:rPr>
        <w:t>）充分考虑中国现行法律、政策环境、标准的兼容性和一致性以及</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评价过程中</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数据的质量与可获取性、评价过程的可操作性原则；</w:t>
      </w:r>
    </w:p>
    <w:p w14:paraId="37547776">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4</w:t>
      </w:r>
      <w:r>
        <w:rPr>
          <w:rFonts w:hint="eastAsia" w:ascii="宋体" w:hAnsi="宋体" w:eastAsia="宋体" w:cs="宋体"/>
          <w:color w:val="000000"/>
          <w:szCs w:val="21"/>
        </w:rPr>
        <w:t>）充分尊重中国法律和监管机构对家装类企业资质、考核、认证以及市场准入等司法与行政管理方面的规定等。</w:t>
      </w:r>
    </w:p>
    <w:p w14:paraId="145CEB79">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5.2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评价的基本含义</w:t>
      </w:r>
    </w:p>
    <w:p w14:paraId="4989C507">
      <w:pPr>
        <w:widowControl/>
        <w:tabs>
          <w:tab w:val="left" w:pos="1134"/>
        </w:tabs>
        <w:spacing w:line="360" w:lineRule="auto"/>
        <w:ind w:firstLine="424" w:firstLineChars="202"/>
        <w:rPr>
          <w:rFonts w:ascii="宋体" w:hAnsi="Times New Roman" w:eastAsia="宋体" w:cs="Times New Roman"/>
          <w:color w:val="000000"/>
          <w:kern w:val="44"/>
          <w:szCs w:val="24"/>
        </w:rPr>
      </w:pPr>
      <w:r>
        <w:rPr>
          <w:rFonts w:hint="eastAsia" w:ascii="宋体" w:hAnsi="宋体" w:eastAsia="宋体" w:cs="宋体"/>
          <w:color w:val="000000"/>
          <w:szCs w:val="24"/>
          <w:lang w:val="en-US" w:eastAsia="zh-CN"/>
        </w:rPr>
        <w:t>山西省</w:t>
      </w:r>
      <w:r>
        <w:rPr>
          <w:rFonts w:hint="eastAsia" w:ascii="宋体" w:hAnsi="宋体" w:eastAsia="宋体" w:cs="宋体"/>
          <w:color w:val="000000"/>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等级评价首先是对受评主体</w:t>
      </w:r>
      <w:r>
        <w:rPr>
          <w:rFonts w:hint="eastAsia" w:ascii="宋体" w:hAnsi="宋体" w:eastAsia="宋体" w:cs="宋体"/>
          <w:color w:val="000000"/>
          <w:kern w:val="0"/>
          <w:szCs w:val="24"/>
        </w:rPr>
        <w:t>其资格、资质等进行符合性认证，以确认其合法存续且</w:t>
      </w:r>
      <w:r>
        <w:rPr>
          <w:rFonts w:hint="eastAsia" w:ascii="宋体" w:hAnsi="宋体" w:eastAsia="宋体" w:cs="宋体"/>
          <w:color w:val="000000"/>
          <w:kern w:val="44"/>
          <w:szCs w:val="24"/>
        </w:rPr>
        <w:t>具有独立承担民事责任的能力</w:t>
      </w:r>
      <w:r>
        <w:rPr>
          <w:rFonts w:hint="eastAsia" w:ascii="宋体" w:hAnsi="宋体" w:eastAsia="宋体" w:cs="宋体"/>
          <w:color w:val="000000"/>
          <w:kern w:val="0"/>
          <w:szCs w:val="24"/>
        </w:rPr>
        <w:t>、具有从事本行业</w:t>
      </w:r>
      <w:r>
        <w:rPr>
          <w:rFonts w:hint="eastAsia" w:ascii="宋体" w:hAnsi="宋体" w:eastAsia="宋体" w:cs="宋体"/>
          <w:color w:val="000000"/>
          <w:kern w:val="44"/>
          <w:szCs w:val="24"/>
        </w:rPr>
        <w:t>所必需的设备和专业技术的能力以及具有履行合同和社会责任的能力。在此前提条件下，再对其</w:t>
      </w:r>
      <w:r>
        <w:rPr>
          <w:rFonts w:hint="eastAsia" w:ascii="宋体" w:hAnsi="宋体" w:eastAsia="宋体" w:cs="宋体"/>
          <w:color w:val="000000"/>
          <w:szCs w:val="24"/>
        </w:rPr>
        <w:t>长期的信用状况和经营的稳定性进行的评估，即对受评主体的违约风险以及受评主体在外部环境变化时其主体</w:t>
      </w:r>
      <w:r>
        <w:rPr>
          <w:rFonts w:hint="eastAsia" w:ascii="宋体" w:hAnsi="宋体" w:eastAsia="宋体" w:cs="宋体"/>
          <w:color w:val="000000"/>
          <w:kern w:val="0"/>
          <w:szCs w:val="24"/>
        </w:rPr>
        <w:t>自身的适应能力</w:t>
      </w:r>
      <w:r>
        <w:rPr>
          <w:rFonts w:hint="eastAsia" w:ascii="宋体" w:hAnsi="宋体" w:eastAsia="宋体" w:cs="宋体"/>
          <w:color w:val="000000"/>
          <w:szCs w:val="24"/>
        </w:rPr>
        <w:t>进行评价，并对其风险临界表现给与说明。</w:t>
      </w:r>
    </w:p>
    <w:p w14:paraId="170FC9F3">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5.3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评价方法</w:t>
      </w:r>
    </w:p>
    <w:p w14:paraId="246A57EE">
      <w:pPr>
        <w:widowControl/>
        <w:tabs>
          <w:tab w:val="left" w:pos="1134"/>
        </w:tabs>
        <w:spacing w:line="360" w:lineRule="auto"/>
        <w:ind w:firstLine="424" w:firstLineChars="202"/>
        <w:jc w:val="left"/>
        <w:rPr>
          <w:rFonts w:ascii="宋体" w:hAnsi="宋体" w:eastAsia="宋体" w:cs="宋体"/>
          <w:color w:val="000000"/>
          <w:szCs w:val="24"/>
        </w:rPr>
      </w:pPr>
      <w:r>
        <w:rPr>
          <w:rFonts w:hint="eastAsia" w:ascii="宋体" w:hAnsi="宋体" w:eastAsia="宋体" w:cs="宋体"/>
          <w:color w:val="000000"/>
          <w:szCs w:val="24"/>
          <w:lang w:val="en-US" w:eastAsia="zh-CN"/>
        </w:rPr>
        <w:t>山西省</w:t>
      </w:r>
      <w:r>
        <w:rPr>
          <w:rFonts w:hint="eastAsia" w:ascii="宋体" w:hAnsi="宋体" w:eastAsia="宋体" w:cs="宋体"/>
          <w:color w:val="000000"/>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应采用定性与定量相结合的方法，分析受评主体的基本素质、经营管理水平、财务实力、公共信用情况。对受评主体的基本素质、经营管理等可采用评分方法进行评价；对受评主体的竞争地位、运营效率以及风险等则应采用计量模型方法评价。</w:t>
      </w:r>
    </w:p>
    <w:p w14:paraId="707D19F1">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5.4 </w:t>
      </w:r>
      <w:r>
        <w:rPr>
          <w:rFonts w:hint="eastAsia" w:ascii="宋体" w:hAnsi="宋体" w:eastAsia="宋体" w:cs="宋体"/>
          <w:b/>
          <w:bCs/>
          <w:color w:val="000000"/>
          <w:szCs w:val="24"/>
        </w:rPr>
        <w:t>评价指标体系</w:t>
      </w:r>
    </w:p>
    <w:p w14:paraId="2C6B1F3C">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lang w:val="en-US" w:eastAsia="zh-CN"/>
        </w:rPr>
        <w:t>山西省</w:t>
      </w:r>
      <w:r>
        <w:rPr>
          <w:rFonts w:hint="eastAsia" w:ascii="Arial" w:hAnsi="Arial" w:eastAsia="宋体" w:cs="Arial"/>
          <w:kern w:val="0"/>
          <w:szCs w:val="21"/>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Arial" w:hAnsi="Arial" w:eastAsia="宋体" w:cs="Arial"/>
          <w:kern w:val="0"/>
          <w:szCs w:val="21"/>
        </w:rPr>
        <w:t>企业</w:t>
      </w:r>
      <w:r>
        <w:rPr>
          <w:rFonts w:hint="eastAsia" w:ascii="Arial" w:hAnsi="Arial" w:eastAsia="宋体" w:cs="Arial"/>
          <w:kern w:val="0"/>
          <w:szCs w:val="21"/>
          <w:lang w:val="en-US" w:eastAsia="zh-CN"/>
        </w:rPr>
        <w:t>服务</w:t>
      </w:r>
      <w:r>
        <w:rPr>
          <w:rFonts w:hint="eastAsia" w:ascii="Arial" w:hAnsi="Arial" w:eastAsia="宋体" w:cs="Arial"/>
          <w:kern w:val="0"/>
          <w:szCs w:val="21"/>
        </w:rPr>
        <w:t>评价的指标体系由企业基本素质、经营管理水平、财务实力以及公共信用记录等四部分构成。根据总值100%计量，其中各部分评价内容及所占权重分别为：</w:t>
      </w:r>
    </w:p>
    <w:p w14:paraId="0EFABC5E">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1</w:t>
      </w:r>
      <w:r>
        <w:rPr>
          <w:rFonts w:hint="eastAsia" w:ascii="Arial" w:hAnsi="Arial" w:eastAsia="宋体" w:cs="Arial"/>
          <w:kern w:val="0"/>
          <w:szCs w:val="21"/>
          <w:lang w:eastAsia="zh-CN"/>
        </w:rPr>
        <w:t>）</w:t>
      </w:r>
      <w:r>
        <w:rPr>
          <w:rFonts w:hint="eastAsia" w:ascii="Arial" w:hAnsi="Arial" w:eastAsia="宋体" w:cs="Arial"/>
          <w:kern w:val="0"/>
          <w:szCs w:val="21"/>
        </w:rPr>
        <w:t>企业基本素质评价内容包括</w:t>
      </w:r>
      <w:r>
        <w:rPr>
          <w:rFonts w:hint="eastAsia" w:ascii="Times New Roman" w:hAnsi="Times New Roman" w:eastAsia="宋体" w:cs="Times New Roman"/>
          <w:color w:val="000000"/>
          <w:szCs w:val="24"/>
        </w:rPr>
        <w:t>存续时间、实际资本到位情况、净资产规模、社保缴纳金额、家装设计师数量、工人数量、主营业务收入规模，权重为</w:t>
      </w:r>
      <w:r>
        <w:rPr>
          <w:rFonts w:ascii="Arial" w:hAnsi="Arial" w:eastAsia="宋体" w:cs="Arial"/>
          <w:kern w:val="0"/>
          <w:szCs w:val="21"/>
        </w:rPr>
        <w:t>15</w:t>
      </w:r>
      <w:r>
        <w:rPr>
          <w:rFonts w:hint="eastAsia" w:ascii="Times New Roman" w:hAnsi="Times New Roman" w:eastAsia="宋体" w:cs="Times New Roman"/>
          <w:color w:val="000000"/>
          <w:szCs w:val="24"/>
        </w:rPr>
        <w:t>%</w:t>
      </w:r>
      <w:r>
        <w:rPr>
          <w:rFonts w:hint="eastAsia" w:ascii="Arial" w:hAnsi="Arial" w:eastAsia="宋体" w:cs="Arial"/>
          <w:kern w:val="0"/>
          <w:szCs w:val="21"/>
        </w:rPr>
        <w:t>；</w:t>
      </w:r>
    </w:p>
    <w:p w14:paraId="0CEC46B7">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2</w:t>
      </w:r>
      <w:r>
        <w:rPr>
          <w:rFonts w:hint="eastAsia" w:ascii="Arial" w:hAnsi="Arial" w:eastAsia="宋体" w:cs="Arial"/>
          <w:kern w:val="0"/>
          <w:szCs w:val="21"/>
          <w:lang w:eastAsia="zh-CN"/>
        </w:rPr>
        <w:t>）</w:t>
      </w:r>
      <w:r>
        <w:rPr>
          <w:rFonts w:hint="eastAsia" w:ascii="Arial" w:hAnsi="Arial" w:eastAsia="宋体" w:cs="Arial"/>
          <w:kern w:val="0"/>
          <w:szCs w:val="21"/>
        </w:rPr>
        <w:t>经营管理水平评价内容包括管理制度建设、知识产权、管理信息系统建设、信息化集成程度、信息安全、交易信用等，权重为</w:t>
      </w:r>
      <w:r>
        <w:rPr>
          <w:rFonts w:ascii="Arial" w:hAnsi="Arial" w:eastAsia="宋体" w:cs="Arial"/>
          <w:kern w:val="0"/>
          <w:szCs w:val="21"/>
        </w:rPr>
        <w:t>25</w:t>
      </w:r>
      <w:r>
        <w:rPr>
          <w:rFonts w:hint="eastAsia" w:ascii="Arial" w:hAnsi="Arial" w:eastAsia="宋体" w:cs="Arial"/>
          <w:kern w:val="0"/>
          <w:szCs w:val="21"/>
        </w:rPr>
        <w:t>%；</w:t>
      </w:r>
    </w:p>
    <w:p w14:paraId="7F0CE724">
      <w:pPr>
        <w:numPr>
          <w:ilvl w:val="0"/>
          <w:numId w:val="0"/>
        </w:numPr>
        <w:tabs>
          <w:tab w:val="left" w:pos="0"/>
        </w:tabs>
        <w:spacing w:line="360" w:lineRule="auto"/>
        <w:ind w:right="-333" w:rightChars="-159" w:firstLine="420" w:firstLineChars="200"/>
        <w:rPr>
          <w:rFonts w:hint="eastAsia"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3</w:t>
      </w:r>
      <w:r>
        <w:rPr>
          <w:rFonts w:hint="eastAsia" w:ascii="Arial" w:hAnsi="Arial" w:eastAsia="宋体" w:cs="Arial"/>
          <w:kern w:val="0"/>
          <w:szCs w:val="21"/>
          <w:lang w:eastAsia="zh-CN"/>
        </w:rPr>
        <w:t>）</w:t>
      </w:r>
      <w:r>
        <w:rPr>
          <w:rFonts w:hint="eastAsia" w:ascii="Arial" w:hAnsi="Arial" w:eastAsia="宋体" w:cs="Arial"/>
          <w:kern w:val="0"/>
          <w:szCs w:val="21"/>
        </w:rPr>
        <w:t>财务实力评价内容包括企业发展能力、企业经营稳定性、企业发展潜力及企业偿付能力，权重为</w:t>
      </w:r>
      <w:r>
        <w:rPr>
          <w:rFonts w:ascii="Arial" w:hAnsi="Arial" w:eastAsia="宋体" w:cs="Arial"/>
          <w:kern w:val="0"/>
          <w:szCs w:val="21"/>
        </w:rPr>
        <w:t>30</w:t>
      </w:r>
      <w:r>
        <w:rPr>
          <w:rFonts w:hint="eastAsia" w:ascii="Arial" w:hAnsi="Arial" w:eastAsia="宋体" w:cs="Arial"/>
          <w:kern w:val="0"/>
          <w:szCs w:val="21"/>
        </w:rPr>
        <w:t>%；</w:t>
      </w:r>
    </w:p>
    <w:p w14:paraId="2D168CC3">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4</w:t>
      </w:r>
      <w:r>
        <w:rPr>
          <w:rFonts w:hint="eastAsia" w:ascii="Arial" w:hAnsi="Arial" w:eastAsia="宋体" w:cs="Arial"/>
          <w:kern w:val="0"/>
          <w:szCs w:val="21"/>
          <w:lang w:eastAsia="zh-CN"/>
        </w:rPr>
        <w:t>）</w:t>
      </w:r>
      <w:r>
        <w:rPr>
          <w:rFonts w:hint="eastAsia" w:ascii="Arial" w:hAnsi="Arial" w:eastAsia="宋体" w:cs="Arial"/>
          <w:kern w:val="0"/>
          <w:szCs w:val="21"/>
        </w:rPr>
        <w:t>公共信用记录评价内容包括纳税记录、行政处罚记录、被执行人记录、经营异常记录、奖励信息、公众监督、社会公益等，权重为</w:t>
      </w:r>
      <w:r>
        <w:rPr>
          <w:rFonts w:ascii="Arial" w:hAnsi="Arial" w:eastAsia="宋体" w:cs="Arial"/>
          <w:kern w:val="0"/>
          <w:szCs w:val="21"/>
        </w:rPr>
        <w:t>30</w:t>
      </w:r>
      <w:r>
        <w:rPr>
          <w:rFonts w:hint="eastAsia" w:ascii="Arial" w:hAnsi="Arial" w:eastAsia="宋体" w:cs="Arial"/>
          <w:kern w:val="0"/>
          <w:szCs w:val="21"/>
        </w:rPr>
        <w:t>%。</w:t>
      </w:r>
    </w:p>
    <w:p w14:paraId="28F39FB7">
      <w:pPr>
        <w:widowControl/>
        <w:tabs>
          <w:tab w:val="left" w:pos="1134"/>
        </w:tabs>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5.5 </w:t>
      </w:r>
      <w:r>
        <w:rPr>
          <w:rFonts w:hint="eastAsia" w:ascii="宋体" w:hAnsi="宋体" w:eastAsia="宋体" w:cs="宋体"/>
          <w:b/>
          <w:bCs/>
          <w:color w:val="000000"/>
          <w:szCs w:val="24"/>
        </w:rPr>
        <w:t>指标项</w:t>
      </w:r>
    </w:p>
    <w:p w14:paraId="407D4EFE">
      <w:pPr>
        <w:tabs>
          <w:tab w:val="left" w:pos="993"/>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rPr>
        <w:t>指标项及说明见附录A。</w:t>
      </w:r>
    </w:p>
    <w:p w14:paraId="1EEE7603">
      <w:pPr>
        <w:keepNext/>
        <w:keepLines/>
        <w:spacing w:before="340" w:after="330" w:line="578" w:lineRule="auto"/>
        <w:jc w:val="left"/>
        <w:outlineLvl w:val="0"/>
        <w:rPr>
          <w:rFonts w:ascii="宋体" w:hAnsi="宋体" w:eastAsia="宋体" w:cs="宋体"/>
          <w:b/>
          <w:bCs/>
          <w:color w:val="000000"/>
          <w:kern w:val="44"/>
          <w:sz w:val="28"/>
          <w:szCs w:val="28"/>
        </w:rPr>
      </w:pPr>
      <w:bookmarkStart w:id="34" w:name="_Toc396315862"/>
      <w:bookmarkStart w:id="35" w:name="_Toc24371154"/>
      <w:r>
        <w:rPr>
          <w:rFonts w:ascii="宋体" w:hAnsi="宋体" w:eastAsia="宋体" w:cs="宋体"/>
          <w:b/>
          <w:bCs/>
          <w:color w:val="000000"/>
          <w:kern w:val="44"/>
          <w:sz w:val="28"/>
          <w:szCs w:val="28"/>
        </w:rPr>
        <w:t xml:space="preserve">6 </w:t>
      </w:r>
      <w:bookmarkEnd w:id="34"/>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评价流程</w:t>
      </w:r>
      <w:bookmarkEnd w:id="35"/>
    </w:p>
    <w:p w14:paraId="4A45727C">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6.1 </w:t>
      </w:r>
      <w:r>
        <w:rPr>
          <w:rFonts w:hint="eastAsia" w:ascii="宋体" w:hAnsi="宋体" w:eastAsia="宋体" w:cs="宋体"/>
          <w:b/>
          <w:bCs/>
          <w:color w:val="000000"/>
          <w:szCs w:val="24"/>
        </w:rPr>
        <w:t>总则</w:t>
      </w:r>
    </w:p>
    <w:p w14:paraId="15FDE960">
      <w:pPr>
        <w:spacing w:line="360" w:lineRule="auto"/>
        <w:ind w:firstLine="420"/>
        <w:rPr>
          <w:rFonts w:ascii="宋体" w:hAnsi="Times New Roman" w:eastAsia="宋体" w:cs="Times New Roman"/>
          <w:b/>
          <w:bCs/>
          <w:color w:val="000000"/>
          <w:szCs w:val="24"/>
        </w:rPr>
      </w:pPr>
      <w:r>
        <w:rPr>
          <w:rFonts w:hint="eastAsia" w:ascii="Times New Roman" w:hAnsi="Times New Roman" w:eastAsia="宋体" w:cs="Times New Roman"/>
          <w:szCs w:val="24"/>
          <w:lang w:val="en-US" w:eastAsia="zh-CN"/>
        </w:rPr>
        <w:t>山西省</w:t>
      </w:r>
      <w:r>
        <w:rPr>
          <w:rFonts w:hint="eastAsia" w:ascii="Times New Roman" w:hAnsi="Times New Roman" w:eastAsia="宋体" w:cs="Times New Roman"/>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Times New Roman" w:hAnsi="Times New Roman" w:eastAsia="宋体" w:cs="Times New Roman"/>
          <w:szCs w:val="24"/>
        </w:rPr>
        <w:t>企业</w:t>
      </w:r>
      <w:r>
        <w:rPr>
          <w:rFonts w:hint="eastAsia" w:ascii="Times New Roman" w:hAnsi="Times New Roman" w:eastAsia="宋体" w:cs="Times New Roman"/>
          <w:szCs w:val="24"/>
          <w:lang w:val="en-US" w:eastAsia="zh-CN"/>
        </w:rPr>
        <w:t>服务由山西省消费者协会、山西省建筑装饰协会委托建筑装饰维权站</w:t>
      </w:r>
      <w:r>
        <w:rPr>
          <w:rFonts w:hint="eastAsia" w:ascii="Times New Roman" w:hAnsi="Times New Roman" w:eastAsia="宋体" w:cs="Times New Roman"/>
          <w:szCs w:val="24"/>
        </w:rPr>
        <w:t>秉持国际通行的公允原则，确保评价过程公平、公正。所有家装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Times New Roman" w:hAnsi="Times New Roman" w:eastAsia="宋体" w:cs="Times New Roman"/>
          <w:szCs w:val="24"/>
        </w:rPr>
        <w:t>企业参与评价均为企业的自愿行为。</w:t>
      </w:r>
    </w:p>
    <w:p w14:paraId="142C76C5">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6.2 </w:t>
      </w:r>
      <w:r>
        <w:rPr>
          <w:rFonts w:hint="eastAsia" w:ascii="宋体" w:hAnsi="宋体" w:eastAsia="宋体" w:cs="宋体"/>
          <w:b/>
          <w:bCs/>
          <w:color w:val="000000"/>
          <w:szCs w:val="24"/>
        </w:rPr>
        <w:t>工作流程</w:t>
      </w:r>
    </w:p>
    <w:p w14:paraId="444A7A7B">
      <w:pPr>
        <w:spacing w:line="360" w:lineRule="auto"/>
        <w:ind w:firstLine="420"/>
        <w:rPr>
          <w:rFonts w:ascii="Times New Roman" w:hAnsi="Times New Roman" w:eastAsia="宋体" w:cs="Times New Roman"/>
          <w:szCs w:val="24"/>
        </w:rPr>
      </w:pPr>
      <w:r>
        <w:rPr>
          <w:rFonts w:hint="eastAsia" w:ascii="Times New Roman" w:hAnsi="Times New Roman" w:eastAsia="宋体" w:cs="Times New Roman"/>
          <w:szCs w:val="24"/>
        </w:rPr>
        <w:t>家装</w:t>
      </w:r>
      <w:r>
        <w:rPr>
          <w:rFonts w:hint="eastAsia" w:ascii="宋体" w:hAnsi="宋体" w:eastAsia="宋体" w:cs="宋体"/>
          <w:kern w:val="0"/>
          <w:sz w:val="22"/>
          <w:lang w:eastAsia="zh-CN"/>
        </w:rPr>
        <w:t>（</w:t>
      </w:r>
      <w:r>
        <w:rPr>
          <w:rFonts w:hint="eastAsia" w:ascii="宋体" w:hAnsi="宋体" w:eastAsia="宋体" w:cs="宋体"/>
          <w:kern w:val="0"/>
          <w:sz w:val="22"/>
          <w:lang w:val="en-US" w:eastAsia="zh-CN"/>
        </w:rPr>
        <w:t>软装</w:t>
      </w:r>
      <w:r>
        <w:rPr>
          <w:rFonts w:hint="eastAsia" w:ascii="宋体" w:hAnsi="宋体" w:eastAsia="宋体" w:cs="宋体"/>
          <w:kern w:val="0"/>
          <w:sz w:val="22"/>
          <w:lang w:eastAsia="zh-CN"/>
        </w:rPr>
        <w:t>）</w:t>
      </w:r>
      <w:r>
        <w:rPr>
          <w:rFonts w:hint="eastAsia" w:ascii="Times New Roman" w:hAnsi="Times New Roman" w:eastAsia="宋体" w:cs="Times New Roman"/>
          <w:szCs w:val="24"/>
        </w:rPr>
        <w:t>企业评价流程一般包括受理申请、信息核实、等级确认、结果公示以及跟踪复评等。</w:t>
      </w:r>
    </w:p>
    <w:p w14:paraId="2A31CF84">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（1）受理申请：</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在收到评价对象的申请后，应审核申请方提交资料的完整性以确定是否接受评价申请。</w:t>
      </w:r>
    </w:p>
    <w:p w14:paraId="3B1A1B97">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（2）信息核实：</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应对受评对象提供的各类信息进行核实，对其信息的真实性进行分析。</w:t>
      </w:r>
    </w:p>
    <w:p w14:paraId="16D95A3B">
      <w:pPr>
        <w:tabs>
          <w:tab w:val="left" w:pos="1134"/>
        </w:tabs>
        <w:spacing w:line="360" w:lineRule="auto"/>
        <w:ind w:left="2" w:firstLine="424" w:firstLineChars="202"/>
        <w:rPr>
          <w:rFonts w:ascii="Arial" w:hAnsi="Arial" w:eastAsia="宋体" w:cs="Arial"/>
          <w:kern w:val="0"/>
          <w:szCs w:val="21"/>
        </w:rPr>
      </w:pPr>
      <w:r>
        <w:rPr>
          <w:rFonts w:hint="eastAsia" w:ascii="Times New Roman" w:hAnsi="Times New Roman" w:eastAsia="宋体" w:cs="Times New Roman"/>
          <w:szCs w:val="24"/>
        </w:rPr>
        <w:t>（3）等级确定：</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应根据家装企业评价的内容，对其</w:t>
      </w:r>
      <w:r>
        <w:rPr>
          <w:rFonts w:hint="eastAsia" w:ascii="Arial" w:hAnsi="Arial" w:eastAsia="宋体" w:cs="Arial"/>
          <w:kern w:val="0"/>
          <w:szCs w:val="21"/>
        </w:rPr>
        <w:t>企业基本素质、经营管理、财务实力以及公共信用记录等进行分析，撰写评价报告，并提出等级建议，</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应对</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提交的评价报告进行审核并提出评审意见。确定评价对象的等级。如果无法确认等级，将无法确认的原因反馈给</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，由</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重新核实相关数据、分析，直到能够确定受评企业等级。</w:t>
      </w:r>
    </w:p>
    <w:p w14:paraId="03D8D5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left="-360" w:leftChars="0" w:right="0" w:rightChars="0" w:firstLine="420" w:firstLineChars="200"/>
        <w:rPr>
          <w:rFonts w:ascii="Arial" w:hAnsi="Arial" w:eastAsia="宋体" w:cs="Arial"/>
          <w:kern w:val="0"/>
          <w:szCs w:val="21"/>
        </w:rPr>
      </w:pPr>
      <w:r>
        <w:rPr>
          <w:rFonts w:hint="eastAsia" w:ascii="Arial" w:hAnsi="Arial" w:eastAsia="宋体" w:cs="Arial"/>
          <w:kern w:val="0"/>
          <w:szCs w:val="21"/>
        </w:rPr>
        <w:t>（4）结果公示：</w:t>
      </w:r>
      <w:r>
        <w:rPr>
          <w:rFonts w:hint="eastAsia" w:ascii="Arial" w:hAnsi="Arial" w:eastAsia="宋体" w:cs="Arial"/>
          <w:kern w:val="0"/>
          <w:szCs w:val="21"/>
          <w:lang w:val="en-US" w:eastAsia="zh-CN"/>
        </w:rPr>
        <w:t>山西省消费者协会和山西省</w:t>
      </w:r>
      <w:r>
        <w:rPr>
          <w:rFonts w:ascii="Arial" w:hAnsi="Arial" w:eastAsia="宋体" w:cs="Arial"/>
          <w:kern w:val="0"/>
          <w:szCs w:val="21"/>
        </w:rPr>
        <w:t>建筑装饰协会</w:t>
      </w:r>
      <w:r>
        <w:rPr>
          <w:rFonts w:hint="eastAsia" w:ascii="Arial" w:hAnsi="Arial" w:eastAsia="宋体" w:cs="Arial"/>
          <w:kern w:val="0"/>
          <w:szCs w:val="21"/>
        </w:rPr>
        <w:t>根据国家法律及相关规定，依法发布受评企业的等级</w:t>
      </w:r>
      <w:r>
        <w:rPr>
          <w:rFonts w:hint="eastAsia" w:ascii="Arial" w:hAnsi="Arial" w:eastAsia="宋体" w:cs="Arial"/>
          <w:kern w:val="0"/>
          <w:szCs w:val="21"/>
          <w:lang w:val="en-US" w:eastAsia="zh-CN"/>
        </w:rPr>
        <w:t>并抄报省有关部门及新闻媒体</w:t>
      </w:r>
      <w:r>
        <w:rPr>
          <w:rFonts w:hint="eastAsia" w:ascii="Arial" w:hAnsi="Arial" w:eastAsia="宋体" w:cs="Arial"/>
          <w:kern w:val="0"/>
          <w:szCs w:val="21"/>
        </w:rPr>
        <w:t>。</w:t>
      </w:r>
    </w:p>
    <w:p w14:paraId="02B673BD">
      <w:pPr>
        <w:spacing w:line="360" w:lineRule="auto"/>
        <w:jc w:val="left"/>
        <w:rPr>
          <w:rFonts w:ascii="宋体" w:hAnsi="宋体" w:eastAsia="宋体" w:cs="宋体"/>
          <w:b/>
          <w:bCs/>
          <w:color w:val="000000"/>
          <w:szCs w:val="24"/>
        </w:rPr>
      </w:pPr>
      <w:r>
        <w:rPr>
          <w:rFonts w:hint="eastAsia" w:ascii="Arial" w:hAnsi="Arial" w:eastAsia="宋体" w:cs="Arial"/>
          <w:kern w:val="0"/>
          <w:szCs w:val="21"/>
        </w:rPr>
        <w:t>（5）跟踪复评：</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应主动公布评价结果有效期。在有效期内，如果受评企业的等级发生变化，评价机构应及时将可能引起其等级变化的因素及分析结果提交</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建筑装饰维权工作站，由</w:t>
      </w:r>
      <w:r>
        <w:rPr>
          <w:rFonts w:hint="eastAsia" w:ascii="Arial" w:hAnsi="Arial" w:eastAsia="宋体" w:cs="Arial"/>
          <w:kern w:val="0"/>
          <w:szCs w:val="21"/>
          <w:lang w:val="en-US" w:eastAsia="zh-CN"/>
        </w:rPr>
        <w:t>山西省建筑装饰</w:t>
      </w:r>
      <w:r>
        <w:rPr>
          <w:rFonts w:hint="eastAsia" w:ascii="Arial" w:hAnsi="Arial" w:eastAsia="宋体" w:cs="Arial"/>
          <w:kern w:val="0"/>
          <w:szCs w:val="21"/>
        </w:rPr>
        <w:t>协会</w:t>
      </w:r>
      <w:r>
        <w:rPr>
          <w:rFonts w:hint="eastAsia" w:ascii="Arial" w:hAnsi="Arial" w:eastAsia="宋体" w:cs="Arial"/>
          <w:kern w:val="0"/>
          <w:szCs w:val="21"/>
          <w:lang w:val="en-US" w:eastAsia="zh-CN"/>
        </w:rPr>
        <w:t>负责解释并</w:t>
      </w:r>
      <w:r>
        <w:rPr>
          <w:rFonts w:hint="eastAsia" w:ascii="Arial" w:hAnsi="Arial" w:eastAsia="宋体" w:cs="Arial"/>
          <w:kern w:val="0"/>
          <w:szCs w:val="21"/>
        </w:rPr>
        <w:t>及时调整受评对象的等级。</w:t>
      </w:r>
    </w:p>
    <w:p w14:paraId="5E5F4D6B">
      <w:pPr>
        <w:keepNext/>
        <w:keepLines/>
        <w:spacing w:before="340" w:after="330" w:line="578" w:lineRule="auto"/>
        <w:jc w:val="center"/>
        <w:outlineLvl w:val="0"/>
        <w:rPr>
          <w:rFonts w:hint="eastAsia" w:ascii="宋体" w:hAnsi="宋体" w:eastAsia="宋体" w:cs="宋体"/>
          <w:b/>
          <w:bCs/>
          <w:color w:val="000000"/>
          <w:kern w:val="44"/>
          <w:sz w:val="32"/>
          <w:szCs w:val="32"/>
        </w:rPr>
      </w:pPr>
      <w:bookmarkStart w:id="36" w:name="_Toc396315866"/>
      <w:bookmarkStart w:id="37" w:name="_Toc24371156"/>
    </w:p>
    <w:p w14:paraId="31D4AFB2">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7B87DCE8">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5C5B0771">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60C0F454">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2919AE39">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6FD79DE8">
      <w:pPr>
        <w:keepNext/>
        <w:keepLines/>
        <w:spacing w:before="340" w:after="330" w:line="578" w:lineRule="auto"/>
        <w:jc w:val="both"/>
        <w:outlineLvl w:val="0"/>
        <w:rPr>
          <w:rFonts w:hint="eastAsia" w:ascii="宋体" w:hAnsi="宋体" w:eastAsia="宋体" w:cs="宋体"/>
          <w:b/>
          <w:bCs/>
          <w:color w:val="000000"/>
          <w:kern w:val="44"/>
          <w:sz w:val="32"/>
          <w:szCs w:val="32"/>
        </w:rPr>
      </w:pPr>
    </w:p>
    <w:bookmarkEnd w:id="36"/>
    <w:bookmarkEnd w:id="37"/>
    <w:p w14:paraId="715B810F">
      <w:pPr>
        <w:spacing w:line="360" w:lineRule="auto"/>
        <w:jc w:val="center"/>
        <w:rPr>
          <w:rFonts w:hint="eastAsia" w:ascii="宋体" w:hAnsi="宋体" w:eastAsia="宋体" w:cs="宋体"/>
          <w:b/>
          <w:bCs/>
          <w:color w:val="000000"/>
          <w:sz w:val="28"/>
          <w:szCs w:val="28"/>
          <w:lang w:val="en-US" w:eastAsia="zh-CN"/>
        </w:rPr>
      </w:pPr>
    </w:p>
    <w:p w14:paraId="5548D385">
      <w:pPr>
        <w:keepNext/>
        <w:keepLines/>
        <w:spacing w:before="340" w:after="330" w:line="578" w:lineRule="auto"/>
        <w:jc w:val="both"/>
        <w:outlineLvl w:val="0"/>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28"/>
          <w:szCs w:val="28"/>
        </w:rPr>
        <w:t>附录</w:t>
      </w:r>
      <w:r>
        <w:rPr>
          <w:rFonts w:ascii="宋体" w:hAnsi="宋体" w:eastAsia="宋体" w:cs="宋体"/>
          <w:b/>
          <w:bCs/>
          <w:color w:val="000000"/>
          <w:kern w:val="44"/>
          <w:sz w:val="28"/>
          <w:szCs w:val="28"/>
        </w:rPr>
        <w:t xml:space="preserve">A </w:t>
      </w:r>
      <w:r>
        <w:rPr>
          <w:rFonts w:hint="eastAsia" w:ascii="宋体" w:hAnsi="宋体" w:eastAsia="宋体" w:cs="宋体"/>
          <w:b/>
          <w:bCs/>
          <w:color w:val="000000"/>
          <w:kern w:val="44"/>
          <w:sz w:val="28"/>
          <w:szCs w:val="28"/>
        </w:rPr>
        <w:t>（规范性附录）</w:t>
      </w:r>
      <w:bookmarkStart w:id="47" w:name="_GoBack"/>
      <w:bookmarkEnd w:id="47"/>
    </w:p>
    <w:p w14:paraId="3DAFF0F2">
      <w:pPr>
        <w:spacing w:line="360" w:lineRule="auto"/>
        <w:jc w:val="center"/>
        <w:rPr>
          <w:rFonts w:ascii="宋体" w:hAnsi="Times New Roman" w:eastAsia="宋体" w:cs="Times New Roman"/>
          <w:b/>
          <w:bCs/>
          <w:color w:val="000000"/>
          <w:sz w:val="32"/>
          <w:szCs w:val="32"/>
        </w:rPr>
      </w:pPr>
      <w:r>
        <w:rPr>
          <w:rFonts w:hint="eastAsia" w:ascii="宋体" w:hAnsi="宋体" w:eastAsia="宋体" w:cs="宋体"/>
          <w:b/>
          <w:bCs/>
          <w:color w:val="000000"/>
          <w:sz w:val="32"/>
          <w:szCs w:val="32"/>
          <w:lang w:val="en-US" w:eastAsia="zh-CN"/>
        </w:rPr>
        <w:t>山西省</w:t>
      </w:r>
      <w:r>
        <w:rPr>
          <w:rFonts w:hint="eastAsia" w:ascii="宋体" w:hAnsi="宋体" w:eastAsia="宋体" w:cs="宋体"/>
          <w:b/>
          <w:bCs/>
          <w:color w:val="000000"/>
          <w:sz w:val="32"/>
          <w:szCs w:val="32"/>
        </w:rPr>
        <w:t>家装</w:t>
      </w:r>
      <w:r>
        <w:rPr>
          <w:rFonts w:hint="eastAsia" w:ascii="宋体" w:hAnsi="宋体" w:eastAsia="宋体" w:cs="宋体"/>
          <w:b/>
          <w:bCs/>
          <w:color w:val="000000"/>
          <w:sz w:val="32"/>
          <w:szCs w:val="32"/>
          <w:lang w:eastAsia="zh-CN"/>
        </w:rPr>
        <w:t>（</w:t>
      </w:r>
      <w:r>
        <w:rPr>
          <w:rFonts w:hint="eastAsia" w:ascii="宋体" w:hAnsi="宋体" w:eastAsia="宋体" w:cs="宋体"/>
          <w:b/>
          <w:bCs/>
          <w:color w:val="000000"/>
          <w:sz w:val="32"/>
          <w:szCs w:val="32"/>
          <w:lang w:val="en-US" w:eastAsia="zh-CN"/>
        </w:rPr>
        <w:t>软装</w:t>
      </w:r>
      <w:r>
        <w:rPr>
          <w:rFonts w:hint="eastAsia" w:ascii="宋体" w:hAnsi="宋体" w:eastAsia="宋体" w:cs="宋体"/>
          <w:b/>
          <w:bCs/>
          <w:color w:val="000000"/>
          <w:sz w:val="32"/>
          <w:szCs w:val="32"/>
          <w:lang w:eastAsia="zh-CN"/>
        </w:rPr>
        <w:t>）</w:t>
      </w:r>
      <w:r>
        <w:rPr>
          <w:rFonts w:hint="eastAsia" w:ascii="宋体" w:hAnsi="宋体" w:eastAsia="宋体" w:cs="宋体"/>
          <w:b/>
          <w:bCs/>
          <w:color w:val="000000"/>
          <w:sz w:val="32"/>
          <w:szCs w:val="32"/>
        </w:rPr>
        <w:t>企业</w:t>
      </w:r>
      <w:r>
        <w:rPr>
          <w:rFonts w:hint="eastAsia" w:ascii="宋体" w:hAnsi="宋体" w:eastAsia="宋体" w:cs="宋体"/>
          <w:b/>
          <w:bCs/>
          <w:color w:val="000000"/>
          <w:sz w:val="32"/>
          <w:szCs w:val="32"/>
          <w:lang w:val="en-US" w:eastAsia="zh-CN"/>
        </w:rPr>
        <w:t>服务</w:t>
      </w:r>
      <w:r>
        <w:rPr>
          <w:rFonts w:hint="eastAsia" w:ascii="宋体" w:hAnsi="宋体" w:eastAsia="宋体" w:cs="宋体"/>
          <w:b/>
          <w:bCs/>
          <w:color w:val="00000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38" w:name="_Toc24371157"/>
      <w:bookmarkStart w:id="39" w:name="_Toc24028248"/>
      <w:r>
        <w:rPr>
          <w:rFonts w:hint="eastAsia" w:ascii="仿宋_GB2312" w:hAnsi="宋体" w:eastAsia="仿宋_GB2312" w:cs="Times New Roman"/>
          <w:b/>
          <w:color w:val="000000"/>
          <w:sz w:val="22"/>
          <w:szCs w:val="30"/>
        </w:rPr>
        <w:t>一.企业基本素质</w:t>
      </w:r>
      <w:bookmarkEnd w:id="38"/>
      <w:bookmarkEnd w:id="39"/>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方面构成，分别是存续时间、实际资本到位情况、净资产规模、社保缴纳金额、家装设计师数量、工人数量、主营业务收入规模。权重为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9955" w:type="dxa"/>
        <w:tblInd w:w="-775" w:type="dxa"/>
        <w:tblLayout w:type="fixed"/>
        <w:tblCellMar>
          <w:top w:w="0" w:type="dxa"/>
          <w:left w:w="108" w:type="dxa"/>
          <w:bottom w:w="0" w:type="dxa"/>
          <w:right w:w="108" w:type="dxa"/>
        </w:tblCellMar>
      </w:tblPr>
      <w:tblGrid>
        <w:gridCol w:w="1025"/>
        <w:gridCol w:w="851"/>
        <w:gridCol w:w="1275"/>
        <w:gridCol w:w="851"/>
        <w:gridCol w:w="2835"/>
        <w:gridCol w:w="1984"/>
        <w:gridCol w:w="1134"/>
      </w:tblGrid>
      <w:tr w14:paraId="5D4B080E">
        <w:tblPrEx>
          <w:tblCellMar>
            <w:top w:w="0" w:type="dxa"/>
            <w:left w:w="108" w:type="dxa"/>
            <w:bottom w:w="0" w:type="dxa"/>
            <w:right w:w="108" w:type="dxa"/>
          </w:tblCellMar>
        </w:tblPrEx>
        <w:trPr>
          <w:trHeight w:val="20" w:hRule="atLeast"/>
        </w:trPr>
        <w:tc>
          <w:tcPr>
            <w:tcW w:w="1876"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084E9FDD">
        <w:tblPrEx>
          <w:tblCellMar>
            <w:top w:w="0" w:type="dxa"/>
            <w:left w:w="108" w:type="dxa"/>
            <w:bottom w:w="0" w:type="dxa"/>
            <w:right w:w="108" w:type="dxa"/>
          </w:tblCellMar>
        </w:tblPrEx>
        <w:trPr>
          <w:trHeight w:val="20" w:hRule="atLeast"/>
        </w:trPr>
        <w:tc>
          <w:tcPr>
            <w:tcW w:w="1025"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r>
      <w:tr w14:paraId="5E561AD5">
        <w:tblPrEx>
          <w:tblCellMar>
            <w:top w:w="0" w:type="dxa"/>
            <w:left w:w="108" w:type="dxa"/>
            <w:bottom w:w="0" w:type="dxa"/>
            <w:right w:w="108" w:type="dxa"/>
          </w:tblCellMar>
        </w:tblPrEx>
        <w:trPr>
          <w:trHeight w:val="20" w:hRule="atLeast"/>
        </w:trPr>
        <w:tc>
          <w:tcPr>
            <w:tcW w:w="10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1984"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1134"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4300178">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4BA4FF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w:t>
            </w:r>
          </w:p>
        </w:tc>
        <w:tc>
          <w:tcPr>
            <w:tcW w:w="1134"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5FB55F51">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8--1</w:t>
            </w:r>
            <w:r>
              <w:rPr>
                <w:rFonts w:ascii="宋体" w:hAnsi="宋体" w:eastAsia="宋体" w:cs="Arial Unicode MS"/>
                <w:color w:val="000000"/>
                <w:kern w:val="0"/>
                <w:sz w:val="18"/>
                <w:szCs w:val="18"/>
              </w:rPr>
              <w:t>0)</w:t>
            </w:r>
          </w:p>
        </w:tc>
        <w:tc>
          <w:tcPr>
            <w:tcW w:w="1134"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6EDCE9B5">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5--8</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2E428578">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3--5</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9057CD9">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68944A11">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w:t>
            </w:r>
          </w:p>
        </w:tc>
        <w:tc>
          <w:tcPr>
            <w:tcW w:w="1134"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48D3694C">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1984"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1134"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15ACC7A">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1134"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E156241">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0B365ADD">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6B6B2AC0">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60FC7543">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1134"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0FF520CD">
        <w:tblPrEx>
          <w:tblCellMar>
            <w:top w:w="0" w:type="dxa"/>
            <w:left w:w="108" w:type="dxa"/>
            <w:bottom w:w="0" w:type="dxa"/>
            <w:right w:w="108" w:type="dxa"/>
          </w:tblCellMar>
        </w:tblPrEx>
        <w:trPr>
          <w:trHeight w:val="34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D8CDE45">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p>
        </w:tc>
        <w:tc>
          <w:tcPr>
            <w:tcW w:w="1134"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9D77A73">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p>
        </w:tc>
        <w:tc>
          <w:tcPr>
            <w:tcW w:w="1134"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65E71518">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1134"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44E55A3C">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3F839A5">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4F707586">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1275"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851"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1984" w:type="dxa"/>
            <w:tcBorders>
              <w:top w:val="single" w:color="auto" w:sz="4" w:space="0"/>
              <w:left w:val="nil"/>
              <w:bottom w:val="single" w:color="auto" w:sz="4" w:space="0"/>
              <w:right w:val="single" w:color="auto" w:sz="4" w:space="0"/>
            </w:tcBorders>
            <w:shd w:val="clear" w:color="auto" w:fill="auto"/>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w:t>
            </w:r>
            <w:r>
              <w:rPr>
                <w:rFonts w:hint="eastAsia" w:ascii="宋体" w:hAnsi="宋体" w:eastAsia="宋体" w:cs="Arial Unicode MS"/>
                <w:b/>
                <w:bCs/>
                <w:color w:val="000000"/>
                <w:kern w:val="0"/>
                <w:sz w:val="18"/>
                <w:szCs w:val="18"/>
                <w:lang w:val="en-US" w:eastAsia="zh-CN"/>
              </w:rPr>
              <w:t>人</w:t>
            </w:r>
            <w:r>
              <w:rPr>
                <w:rFonts w:hint="eastAsia" w:ascii="宋体" w:hAnsi="宋体" w:eastAsia="宋体" w:cs="Arial Unicode MS"/>
                <w:b/>
                <w:bCs/>
                <w:color w:val="000000"/>
                <w:kern w:val="0"/>
                <w:sz w:val="18"/>
                <w:szCs w:val="18"/>
              </w:rPr>
              <w:t>）</w:t>
            </w:r>
          </w:p>
        </w:tc>
        <w:tc>
          <w:tcPr>
            <w:tcW w:w="1134" w:type="dxa"/>
            <w:tcBorders>
              <w:top w:val="single" w:color="auto" w:sz="4" w:space="0"/>
              <w:left w:val="nil"/>
              <w:bottom w:val="single" w:color="auto" w:sz="4" w:space="0"/>
              <w:right w:val="single" w:color="auto" w:sz="4" w:space="0"/>
            </w:tcBorders>
            <w:shd w:val="clear" w:color="auto" w:fill="auto"/>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AC8E677">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1134"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B4253B8">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139420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15</w:t>
            </w:r>
          </w:p>
        </w:tc>
        <w:tc>
          <w:tcPr>
            <w:tcW w:w="1134"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70377DDC">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1E72E62D">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1134"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684D9185">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2761CA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p>
        </w:tc>
        <w:tc>
          <w:tcPr>
            <w:tcW w:w="1134"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FEBE4F2">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7FFCC67E">
            <w:pPr>
              <w:widowControl/>
              <w:jc w:val="center"/>
              <w:rPr>
                <w:rFonts w:hint="eastAsia"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w:t>
            </w:r>
          </w:p>
        </w:tc>
        <w:tc>
          <w:tcPr>
            <w:tcW w:w="1134"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041573C1">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64793C0F">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DA65B17">
            <w:pPr>
              <w:widowControl/>
              <w:jc w:val="left"/>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0741CF4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家装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软装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设计师数量</w:t>
            </w:r>
          </w:p>
        </w:tc>
        <w:tc>
          <w:tcPr>
            <w:tcW w:w="851" w:type="dxa"/>
            <w:vMerge w:val="restart"/>
            <w:tcBorders>
              <w:left w:val="single" w:color="auto" w:sz="4" w:space="0"/>
              <w:right w:val="single" w:color="auto" w:sz="4" w:space="0"/>
            </w:tcBorders>
            <w:vAlign w:val="center"/>
          </w:tcPr>
          <w:p w14:paraId="3C345A70">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5E62AFE3">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通过受评企业在</w:t>
            </w:r>
            <w:r>
              <w:rPr>
                <w:rFonts w:hint="eastAsia" w:ascii="宋体" w:hAnsi="宋体" w:eastAsia="宋体" w:cs="宋体"/>
                <w:color w:val="000000"/>
                <w:kern w:val="0"/>
                <w:sz w:val="18"/>
                <w:szCs w:val="18"/>
                <w:lang w:val="en-US" w:eastAsia="zh-CN"/>
              </w:rPr>
              <w:t>山西省</w:t>
            </w:r>
            <w:r>
              <w:rPr>
                <w:rFonts w:hint="eastAsia" w:ascii="宋体" w:hAnsi="宋体" w:eastAsia="宋体" w:cs="宋体"/>
                <w:color w:val="000000"/>
                <w:kern w:val="0"/>
                <w:sz w:val="18"/>
                <w:szCs w:val="18"/>
              </w:rPr>
              <w:t>建筑装饰协会备案家装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软装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设计师数量评估企业家装设计实力。</w:t>
            </w:r>
          </w:p>
        </w:tc>
        <w:tc>
          <w:tcPr>
            <w:tcW w:w="1984" w:type="dxa"/>
            <w:tcBorders>
              <w:top w:val="nil"/>
              <w:left w:val="nil"/>
              <w:bottom w:val="single" w:color="auto" w:sz="4" w:space="0"/>
              <w:right w:val="single" w:color="auto" w:sz="4" w:space="0"/>
            </w:tcBorders>
            <w:shd w:val="clear" w:color="auto" w:fill="auto"/>
          </w:tcPr>
          <w:p w14:paraId="2149964E">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设计师（人）</w:t>
            </w:r>
          </w:p>
        </w:tc>
        <w:tc>
          <w:tcPr>
            <w:tcW w:w="1134" w:type="dxa"/>
            <w:tcBorders>
              <w:top w:val="nil"/>
              <w:left w:val="nil"/>
              <w:bottom w:val="single" w:color="auto" w:sz="4" w:space="0"/>
              <w:right w:val="single" w:color="auto" w:sz="4" w:space="0"/>
            </w:tcBorders>
            <w:shd w:val="clear" w:color="auto" w:fill="auto"/>
          </w:tcPr>
          <w:p w14:paraId="7ACAB20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DA4846A">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35DDB94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45DCF08">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1BC59E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BA4FA65">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4DC3EA5C">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617BF1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1134" w:type="dxa"/>
            <w:tcBorders>
              <w:top w:val="nil"/>
              <w:left w:val="nil"/>
              <w:bottom w:val="single" w:color="auto" w:sz="4" w:space="0"/>
              <w:right w:val="single" w:color="auto" w:sz="4" w:space="0"/>
            </w:tcBorders>
            <w:shd w:val="clear" w:color="auto" w:fill="auto"/>
            <w:vAlign w:val="center"/>
          </w:tcPr>
          <w:p w14:paraId="139FE5F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A05FB88">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6A696B97">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5B318AF">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C931BF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C15AB97">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04DB70CE">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445FA6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w:t>
            </w:r>
          </w:p>
        </w:tc>
        <w:tc>
          <w:tcPr>
            <w:tcW w:w="1134" w:type="dxa"/>
            <w:tcBorders>
              <w:top w:val="nil"/>
              <w:left w:val="nil"/>
              <w:bottom w:val="single" w:color="auto" w:sz="4" w:space="0"/>
              <w:right w:val="single" w:color="auto" w:sz="4" w:space="0"/>
            </w:tcBorders>
            <w:shd w:val="clear" w:color="auto" w:fill="auto"/>
            <w:vAlign w:val="center"/>
          </w:tcPr>
          <w:p w14:paraId="60A69DA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585E56BB">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B078F46">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ECB8BB9">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FE7AD7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325F153">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5CF62AD">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1E5FF3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w:t>
            </w:r>
          </w:p>
        </w:tc>
        <w:tc>
          <w:tcPr>
            <w:tcW w:w="1134" w:type="dxa"/>
            <w:tcBorders>
              <w:top w:val="nil"/>
              <w:left w:val="nil"/>
              <w:bottom w:val="single" w:color="auto" w:sz="4" w:space="0"/>
              <w:right w:val="single" w:color="auto" w:sz="4" w:space="0"/>
            </w:tcBorders>
            <w:shd w:val="clear" w:color="auto" w:fill="auto"/>
            <w:vAlign w:val="center"/>
          </w:tcPr>
          <w:p w14:paraId="716F09B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6E3F3ABE">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1FD9604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8326278">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5655084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3D1DA83">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0531809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A041AC7">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w:t>
            </w:r>
          </w:p>
        </w:tc>
        <w:tc>
          <w:tcPr>
            <w:tcW w:w="1134" w:type="dxa"/>
            <w:tcBorders>
              <w:top w:val="nil"/>
              <w:left w:val="nil"/>
              <w:bottom w:val="single" w:color="auto" w:sz="4" w:space="0"/>
              <w:right w:val="single" w:color="auto" w:sz="4" w:space="0"/>
            </w:tcBorders>
            <w:shd w:val="clear" w:color="auto" w:fill="auto"/>
            <w:vAlign w:val="center"/>
          </w:tcPr>
          <w:p w14:paraId="30169AB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10C86417">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A2C8CD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EA19822">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599B0DFE">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10977110">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225DE2A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69413BA">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w:t>
            </w:r>
          </w:p>
        </w:tc>
        <w:tc>
          <w:tcPr>
            <w:tcW w:w="1134" w:type="dxa"/>
            <w:tcBorders>
              <w:top w:val="nil"/>
              <w:left w:val="nil"/>
              <w:bottom w:val="single" w:color="auto" w:sz="4" w:space="0"/>
              <w:right w:val="single" w:color="auto" w:sz="4" w:space="0"/>
            </w:tcBorders>
            <w:shd w:val="clear" w:color="auto" w:fill="auto"/>
            <w:vAlign w:val="center"/>
          </w:tcPr>
          <w:p w14:paraId="6C78EF1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40842A74">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851"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通过受评企业为工人购买商业保险的数量评估企业近一年雇佣家装施工人员规模。</w:t>
            </w:r>
          </w:p>
        </w:tc>
        <w:tc>
          <w:tcPr>
            <w:tcW w:w="1984" w:type="dxa"/>
            <w:tcBorders>
              <w:top w:val="nil"/>
              <w:left w:val="nil"/>
              <w:bottom w:val="single" w:color="auto" w:sz="4" w:space="0"/>
              <w:right w:val="single" w:color="auto" w:sz="4" w:space="0"/>
            </w:tcBorders>
            <w:shd w:val="clear" w:color="auto" w:fill="auto"/>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1134" w:type="dxa"/>
            <w:tcBorders>
              <w:top w:val="nil"/>
              <w:left w:val="nil"/>
              <w:bottom w:val="single" w:color="auto" w:sz="4" w:space="0"/>
              <w:right w:val="single" w:color="auto" w:sz="4" w:space="0"/>
            </w:tcBorders>
            <w:shd w:val="clear" w:color="auto" w:fill="auto"/>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AF73D5">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7D36A16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1134"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F0A8B78">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240F1AB">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80--100]</w:t>
            </w:r>
          </w:p>
        </w:tc>
        <w:tc>
          <w:tcPr>
            <w:tcW w:w="1134"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0249808B">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0D7712FF">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50--80]</w:t>
            </w:r>
          </w:p>
        </w:tc>
        <w:tc>
          <w:tcPr>
            <w:tcW w:w="1134"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34CF3CB3">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CC7F08C">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20--50]</w:t>
            </w:r>
          </w:p>
        </w:tc>
        <w:tc>
          <w:tcPr>
            <w:tcW w:w="1134"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76074E86">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413FFB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1134"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33A5BF59">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考察受评企业近一年度家装业务收入规模。</w:t>
            </w:r>
          </w:p>
        </w:tc>
        <w:tc>
          <w:tcPr>
            <w:tcW w:w="1984" w:type="dxa"/>
            <w:tcBorders>
              <w:top w:val="single" w:color="auto" w:sz="4" w:space="0"/>
              <w:left w:val="nil"/>
              <w:bottom w:val="single" w:color="auto" w:sz="4" w:space="0"/>
              <w:right w:val="single" w:color="auto" w:sz="4" w:space="0"/>
            </w:tcBorders>
            <w:shd w:val="clear" w:color="auto" w:fill="auto"/>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1134" w:type="dxa"/>
            <w:tcBorders>
              <w:top w:val="single" w:color="auto" w:sz="4" w:space="0"/>
              <w:left w:val="nil"/>
              <w:bottom w:val="single" w:color="auto" w:sz="4" w:space="0"/>
              <w:right w:val="single" w:color="auto" w:sz="4" w:space="0"/>
            </w:tcBorders>
            <w:shd w:val="clear" w:color="auto" w:fill="auto"/>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B59358">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0BAE62C">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1881003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r>
      <w:tr w14:paraId="1521D5DF">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2FFD2E3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3EE1607B">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26AFD2D">
        <w:tblPrEx>
          <w:tblCellMar>
            <w:top w:w="0" w:type="dxa"/>
            <w:left w:w="108" w:type="dxa"/>
            <w:bottom w:w="0" w:type="dxa"/>
            <w:right w:w="108" w:type="dxa"/>
          </w:tblCellMar>
        </w:tblPrEx>
        <w:trPr>
          <w:trHeight w:val="20" w:hRule="atLeast"/>
        </w:trPr>
        <w:tc>
          <w:tcPr>
            <w:tcW w:w="1025" w:type="dxa"/>
            <w:vMerge w:val="continue"/>
            <w:tcBorders>
              <w:top w:val="single" w:color="auto" w:sz="4" w:space="0"/>
              <w:left w:val="single" w:color="auto" w:sz="4" w:space="0"/>
              <w:bottom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78DEFE20">
            <w:pPr>
              <w:widowControl/>
              <w:jc w:val="center"/>
              <w:rPr>
                <w:rFonts w:ascii="宋体" w:hAnsi="宋体" w:eastAsia="宋体" w:cs="Arial Unicode MS"/>
                <w:color w:val="000000"/>
                <w:kern w:val="0"/>
                <w:sz w:val="18"/>
                <w:szCs w:val="18"/>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bookmarkStart w:id="40" w:name="_Toc24028249"/>
      <w:bookmarkStart w:id="41" w:name="_Toc24371158"/>
      <w:r>
        <w:rPr>
          <w:rFonts w:hint="eastAsia" w:ascii="仿宋_GB2312" w:hAnsi="宋体" w:eastAsia="仿宋_GB2312" w:cs="Times New Roman"/>
          <w:b/>
          <w:color w:val="000000"/>
          <w:sz w:val="22"/>
          <w:szCs w:val="30"/>
        </w:rPr>
        <w:t>二、经营管理水平</w:t>
      </w:r>
      <w:bookmarkEnd w:id="40"/>
      <w:bookmarkEnd w:id="41"/>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9923" w:type="dxa"/>
        <w:tblInd w:w="-743" w:type="dxa"/>
        <w:tblLayout w:type="fixed"/>
        <w:tblCellMar>
          <w:top w:w="0" w:type="dxa"/>
          <w:left w:w="108" w:type="dxa"/>
          <w:bottom w:w="0" w:type="dxa"/>
          <w:right w:w="108" w:type="dxa"/>
        </w:tblCellMar>
      </w:tblPr>
      <w:tblGrid>
        <w:gridCol w:w="993"/>
        <w:gridCol w:w="851"/>
        <w:gridCol w:w="1275"/>
        <w:gridCol w:w="851"/>
        <w:gridCol w:w="2835"/>
        <w:gridCol w:w="1843"/>
        <w:gridCol w:w="1275"/>
      </w:tblGrid>
      <w:tr w14:paraId="44BA3B22">
        <w:tblPrEx>
          <w:tblCellMar>
            <w:top w:w="0" w:type="dxa"/>
            <w:left w:w="108" w:type="dxa"/>
            <w:bottom w:w="0" w:type="dxa"/>
            <w:right w:w="108" w:type="dxa"/>
          </w:tblCellMar>
        </w:tblPrEx>
        <w:trPr>
          <w:trHeight w:val="20" w:hRule="atLeast"/>
        </w:trPr>
        <w:tc>
          <w:tcPr>
            <w:tcW w:w="1844"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6DDF60A7">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835"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r>
      <w:tr w14:paraId="0704CB45">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1275"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851"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1843"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BF8BDC9">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1275"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146B4A7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1275"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6F50B218">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1275"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0F83AE5B">
        <w:tblPrEx>
          <w:tblCellMar>
            <w:top w:w="0" w:type="dxa"/>
            <w:left w:w="108" w:type="dxa"/>
            <w:bottom w:w="0" w:type="dxa"/>
            <w:right w:w="108" w:type="dxa"/>
          </w:tblCellMar>
        </w:tblPrEx>
        <w:trPr>
          <w:trHeight w:val="160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1275"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851"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835"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w:t>
            </w:r>
            <w:r>
              <w:rPr>
                <w:rFonts w:hint="eastAsia" w:ascii="宋体" w:hAnsi="宋体" w:eastAsia="宋体" w:cs="宋体"/>
                <w:color w:val="000000"/>
                <w:kern w:val="0"/>
                <w:sz w:val="18"/>
                <w:szCs w:val="18"/>
              </w:rPr>
              <w:t>等。</w:t>
            </w:r>
          </w:p>
        </w:tc>
        <w:tc>
          <w:tcPr>
            <w:tcW w:w="3118"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0C39A43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家装BIM设计系统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软装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1843"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46B21E3">
        <w:tblPrEx>
          <w:tblCellMar>
            <w:top w:w="0" w:type="dxa"/>
            <w:left w:w="108" w:type="dxa"/>
            <w:bottom w:w="0" w:type="dxa"/>
            <w:right w:w="108" w:type="dxa"/>
          </w:tblCellMar>
        </w:tblPrEx>
        <w:trPr>
          <w:trHeight w:val="1186"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1275"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CD15DA1">
        <w:tblPrEx>
          <w:tblCellMar>
            <w:top w:w="0" w:type="dxa"/>
            <w:left w:w="108" w:type="dxa"/>
            <w:bottom w:w="0" w:type="dxa"/>
            <w:right w:w="108" w:type="dxa"/>
          </w:tblCellMar>
        </w:tblPrEx>
        <w:trPr>
          <w:trHeight w:val="13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1275"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0F35B256">
        <w:tblPrEx>
          <w:tblCellMar>
            <w:top w:w="0" w:type="dxa"/>
            <w:left w:w="108" w:type="dxa"/>
            <w:bottom w:w="0" w:type="dxa"/>
            <w:right w:w="108" w:type="dxa"/>
          </w:tblCellMar>
        </w:tblPrEx>
        <w:trPr>
          <w:trHeight w:val="1265"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1275"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r>
      <w:tr w14:paraId="70204DB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1275"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346941C5">
        <w:tblPrEx>
          <w:tblCellMar>
            <w:top w:w="0" w:type="dxa"/>
            <w:left w:w="108" w:type="dxa"/>
            <w:bottom w:w="0" w:type="dxa"/>
            <w:right w:w="108" w:type="dxa"/>
          </w:tblCellMar>
        </w:tblPrEx>
        <w:trPr>
          <w:trHeight w:val="292"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1843"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435606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1275" w:type="dxa"/>
            <w:tcBorders>
              <w:top w:val="nil"/>
              <w:left w:val="nil"/>
              <w:bottom w:val="single" w:color="auto" w:sz="4" w:space="0"/>
              <w:right w:val="single" w:color="auto" w:sz="4" w:space="0"/>
            </w:tcBorders>
            <w:shd w:val="clear" w:color="auto" w:fill="auto"/>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CA2F07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1275" w:type="dxa"/>
            <w:tcBorders>
              <w:top w:val="nil"/>
              <w:left w:val="nil"/>
              <w:bottom w:val="single" w:color="auto" w:sz="4" w:space="0"/>
              <w:right w:val="single" w:color="auto" w:sz="4" w:space="0"/>
            </w:tcBorders>
            <w:shd w:val="clear" w:color="auto" w:fill="auto"/>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1930431">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1275" w:type="dxa"/>
            <w:tcBorders>
              <w:top w:val="nil"/>
              <w:left w:val="nil"/>
              <w:bottom w:val="single" w:color="auto" w:sz="4" w:space="0"/>
              <w:right w:val="single" w:color="auto" w:sz="4" w:space="0"/>
            </w:tcBorders>
            <w:shd w:val="clear" w:color="auto" w:fill="auto"/>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404C3B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851"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1843"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2836D37">
        <w:tblPrEx>
          <w:tblCellMar>
            <w:top w:w="0" w:type="dxa"/>
            <w:left w:w="108" w:type="dxa"/>
            <w:bottom w:w="0" w:type="dxa"/>
            <w:right w:w="108" w:type="dxa"/>
          </w:tblCellMar>
        </w:tblPrEx>
        <w:trPr>
          <w:trHeight w:val="64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1275"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6DE67DBE">
        <w:tblPrEx>
          <w:tblCellMar>
            <w:top w:w="0" w:type="dxa"/>
            <w:left w:w="108" w:type="dxa"/>
            <w:bottom w:w="0" w:type="dxa"/>
            <w:right w:w="108" w:type="dxa"/>
          </w:tblCellMar>
        </w:tblPrEx>
        <w:trPr>
          <w:trHeight w:val="6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1275"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28E9E3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1275"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0EF53C4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1275"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851"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1843"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1275"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3269F2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5D15FE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[80,90)</w:t>
            </w:r>
          </w:p>
        </w:tc>
        <w:tc>
          <w:tcPr>
            <w:tcW w:w="1275"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14BF9E4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[70,80)</w:t>
            </w:r>
          </w:p>
        </w:tc>
        <w:tc>
          <w:tcPr>
            <w:tcW w:w="1275"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534462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r w14:paraId="6A30C33C">
        <w:tblPrEx>
          <w:tblCellMar>
            <w:top w:w="0" w:type="dxa"/>
            <w:left w:w="108" w:type="dxa"/>
            <w:bottom w:w="0" w:type="dxa"/>
            <w:right w:w="108" w:type="dxa"/>
          </w:tblCellMar>
        </w:tblPrEx>
        <w:trPr>
          <w:trHeight w:val="22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1843"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1275"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8105B1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48059C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6BAF3D7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478C567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0DE8B0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1275"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2DF690F">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2" w:name="_Toc24371159"/>
      <w:bookmarkStart w:id="43" w:name="_Toc24028250"/>
      <w:r>
        <w:rPr>
          <w:rFonts w:hint="eastAsia" w:ascii="仿宋_GB2312" w:hAnsi="宋体" w:eastAsia="仿宋_GB2312" w:cs="Times New Roman"/>
          <w:b/>
          <w:color w:val="000000"/>
          <w:sz w:val="22"/>
          <w:szCs w:val="30"/>
        </w:rPr>
        <w:t>三、企业财务实力</w:t>
      </w:r>
      <w:bookmarkEnd w:id="42"/>
      <w:bookmarkEnd w:id="43"/>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736"/>
        <w:gridCol w:w="1515"/>
        <w:gridCol w:w="891"/>
        <w:gridCol w:w="5487"/>
      </w:tblGrid>
      <w:tr w14:paraId="0999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030"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2406"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5487"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r>
      <w:tr w14:paraId="795C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736"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1515"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891"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5487" w:type="dxa"/>
            <w:vMerge w:val="continue"/>
            <w:vAlign w:val="center"/>
          </w:tcPr>
          <w:p w14:paraId="3784CFB6">
            <w:pPr>
              <w:widowControl/>
              <w:jc w:val="left"/>
              <w:rPr>
                <w:rFonts w:ascii="宋体" w:hAnsi="宋体" w:eastAsia="宋体" w:cs="宋体"/>
                <w:color w:val="000000"/>
                <w:kern w:val="0"/>
                <w:sz w:val="18"/>
                <w:szCs w:val="18"/>
              </w:rPr>
            </w:pPr>
          </w:p>
        </w:tc>
      </w:tr>
      <w:tr w14:paraId="5B5F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736"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515"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891"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r>
      <w:tr w14:paraId="28D5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403CFC63">
            <w:pPr>
              <w:widowControl/>
              <w:jc w:val="center"/>
              <w:rPr>
                <w:rFonts w:ascii="宋体" w:hAnsi="宋体" w:eastAsia="宋体" w:cs="宋体"/>
                <w:color w:val="000000"/>
                <w:kern w:val="0"/>
                <w:sz w:val="18"/>
                <w:szCs w:val="18"/>
              </w:rPr>
            </w:pPr>
          </w:p>
        </w:tc>
        <w:tc>
          <w:tcPr>
            <w:tcW w:w="736" w:type="dxa"/>
            <w:vMerge w:val="continue"/>
            <w:vAlign w:val="center"/>
          </w:tcPr>
          <w:p w14:paraId="27CD905B">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891"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r>
      <w:tr w14:paraId="3611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1C9E8F6C">
            <w:pPr>
              <w:widowControl/>
              <w:jc w:val="center"/>
              <w:rPr>
                <w:rFonts w:ascii="宋体" w:hAnsi="宋体" w:eastAsia="宋体" w:cs="宋体"/>
                <w:color w:val="000000"/>
                <w:kern w:val="0"/>
                <w:sz w:val="18"/>
                <w:szCs w:val="18"/>
              </w:rPr>
            </w:pPr>
          </w:p>
        </w:tc>
        <w:tc>
          <w:tcPr>
            <w:tcW w:w="736" w:type="dxa"/>
            <w:vMerge w:val="continue"/>
            <w:vAlign w:val="center"/>
          </w:tcPr>
          <w:p w14:paraId="6F5E84ED">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891"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44"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44"/>
            <w:r>
              <w:rPr>
                <w:rFonts w:hint="eastAsia" w:ascii="宋体" w:hAnsi="宋体" w:eastAsia="宋体" w:cs="宋体"/>
                <w:color w:val="000000"/>
                <w:kern w:val="0"/>
                <w:sz w:val="18"/>
                <w:szCs w:val="18"/>
              </w:rPr>
              <w:t>。</w:t>
            </w:r>
          </w:p>
        </w:tc>
      </w:tr>
      <w:tr w14:paraId="663B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5EE09F1E">
            <w:pPr>
              <w:widowControl/>
              <w:jc w:val="center"/>
              <w:rPr>
                <w:rFonts w:ascii="宋体" w:hAnsi="宋体" w:eastAsia="宋体" w:cs="宋体"/>
                <w:color w:val="000000"/>
                <w:kern w:val="0"/>
                <w:sz w:val="18"/>
                <w:szCs w:val="18"/>
              </w:rPr>
            </w:pPr>
          </w:p>
        </w:tc>
        <w:tc>
          <w:tcPr>
            <w:tcW w:w="736" w:type="dxa"/>
            <w:vMerge w:val="continue"/>
            <w:vAlign w:val="center"/>
          </w:tcPr>
          <w:p w14:paraId="09542E0F">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891"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r>
    </w:tbl>
    <w:p w14:paraId="1B6EE2C9">
      <w:pPr>
        <w:spacing w:line="600" w:lineRule="exact"/>
        <w:ind w:left="-849" w:leftChars="-405" w:hanging="1"/>
        <w:jc w:val="left"/>
        <w:outlineLvl w:val="0"/>
        <w:rPr>
          <w:rFonts w:ascii="仿宋_GB2312" w:hAnsi="宋体" w:eastAsia="仿宋_GB2312" w:cs="Times New Roman"/>
          <w:b/>
          <w:color w:val="000000"/>
          <w:sz w:val="22"/>
          <w:szCs w:val="30"/>
        </w:rPr>
      </w:pPr>
      <w:bookmarkStart w:id="45" w:name="_Toc24028251"/>
      <w:bookmarkStart w:id="46" w:name="_Toc24371160"/>
      <w:r>
        <w:rPr>
          <w:rFonts w:hint="eastAsia" w:ascii="仿宋_GB2312" w:hAnsi="宋体" w:eastAsia="仿宋_GB2312" w:cs="Times New Roman"/>
          <w:b/>
          <w:color w:val="000000"/>
          <w:sz w:val="22"/>
          <w:szCs w:val="30"/>
        </w:rPr>
        <w:t>四、公共信用记录</w:t>
      </w:r>
      <w:bookmarkEnd w:id="45"/>
      <w:bookmarkEnd w:id="46"/>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Layout w:type="autofit"/>
        <w:tblCellMar>
          <w:top w:w="0" w:type="dxa"/>
          <w:left w:w="108" w:type="dxa"/>
          <w:bottom w:w="0" w:type="dxa"/>
          <w:right w:w="108" w:type="dxa"/>
        </w:tblCellMar>
      </w:tblPr>
      <w:tblGrid>
        <w:gridCol w:w="993"/>
        <w:gridCol w:w="992"/>
        <w:gridCol w:w="1134"/>
        <w:gridCol w:w="993"/>
        <w:gridCol w:w="2693"/>
        <w:gridCol w:w="1984"/>
        <w:gridCol w:w="1134"/>
      </w:tblGrid>
      <w:tr w14:paraId="5256BDC5">
        <w:tblPrEx>
          <w:tblCellMar>
            <w:top w:w="0" w:type="dxa"/>
            <w:left w:w="108" w:type="dxa"/>
            <w:bottom w:w="0" w:type="dxa"/>
            <w:right w:w="108" w:type="dxa"/>
          </w:tblCellMar>
        </w:tblPrEx>
        <w:trPr>
          <w:trHeight w:val="20" w:hRule="atLeast"/>
        </w:trPr>
        <w:tc>
          <w:tcPr>
            <w:tcW w:w="1985"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7"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693"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r>
      <w:tr w14:paraId="0D8BE643">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2"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134"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3"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r>
      <w:tr w14:paraId="7A0C038A">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1984"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1134" w:type="dxa"/>
            <w:tcBorders>
              <w:top w:val="single" w:color="auto" w:sz="4" w:space="0"/>
              <w:left w:val="nil"/>
              <w:bottom w:val="single" w:color="auto" w:sz="4" w:space="0"/>
              <w:right w:val="single" w:color="auto" w:sz="4" w:space="0"/>
            </w:tcBorders>
            <w:shd w:val="clear" w:color="auto" w:fill="auto"/>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27A0B8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1134"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2BE1CEF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2693"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1134"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FAC51AA">
        <w:tblPrEx>
          <w:tblCellMar>
            <w:top w:w="0" w:type="dxa"/>
            <w:left w:w="108" w:type="dxa"/>
            <w:bottom w:w="0" w:type="dxa"/>
            <w:right w:w="108" w:type="dxa"/>
          </w:tblCellMar>
        </w:tblPrEx>
        <w:trPr>
          <w:trHeight w:val="932" w:hRule="atLeast"/>
        </w:trPr>
        <w:tc>
          <w:tcPr>
            <w:tcW w:w="993"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993"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2693"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3118"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r>
      <w:tr w14:paraId="1190319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1984"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1134"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A5DCDE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AF3C47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2E87931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993"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1984" w:type="dxa"/>
            <w:tcBorders>
              <w:top w:val="single" w:color="auto" w:sz="4" w:space="0"/>
              <w:left w:val="nil"/>
              <w:bottom w:val="single" w:color="auto" w:sz="4" w:space="0"/>
              <w:right w:val="single" w:color="auto" w:sz="4" w:space="0"/>
            </w:tcBorders>
            <w:shd w:val="clear" w:color="auto" w:fill="auto"/>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1134" w:type="dxa"/>
            <w:tcBorders>
              <w:top w:val="single" w:color="auto" w:sz="4" w:space="0"/>
              <w:left w:val="nil"/>
              <w:bottom w:val="single" w:color="auto" w:sz="4" w:space="0"/>
              <w:right w:val="single" w:color="auto" w:sz="4" w:space="0"/>
            </w:tcBorders>
            <w:shd w:val="clear" w:color="auto" w:fill="auto"/>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得分</w:t>
            </w:r>
          </w:p>
        </w:tc>
      </w:tr>
      <w:tr w14:paraId="065F4E5F">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34"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78D6B9A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1134"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5EFB80EB">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1134"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993"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2693"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1134"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52B97645">
        <w:tblPrEx>
          <w:tblCellMar>
            <w:top w:w="0" w:type="dxa"/>
            <w:left w:w="108" w:type="dxa"/>
            <w:bottom w:w="0" w:type="dxa"/>
            <w:right w:w="108" w:type="dxa"/>
          </w:tblCellMar>
        </w:tblPrEx>
        <w:trPr>
          <w:trHeight w:val="907" w:hRule="atLeast"/>
        </w:trPr>
        <w:tc>
          <w:tcPr>
            <w:tcW w:w="993"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3118"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335C0281">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1984"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78804F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65A623A">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57CD491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097792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山西省住宅装饰装修合同示范文本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《山西省住宅装饰设计服务合同</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1984"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1134"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A3A0AC9">
        <w:tblPrEx>
          <w:tblCellMar>
            <w:top w:w="0" w:type="dxa"/>
            <w:left w:w="108" w:type="dxa"/>
            <w:bottom w:w="0" w:type="dxa"/>
            <w:right w:w="108" w:type="dxa"/>
          </w:tblCellMar>
        </w:tblPrEx>
        <w:trPr>
          <w:trHeight w:val="678" w:hRule="atLeast"/>
        </w:trPr>
        <w:tc>
          <w:tcPr>
            <w:tcW w:w="993"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8E92D4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41A702E3">
        <w:tblPrEx>
          <w:tblCellMar>
            <w:top w:w="0" w:type="dxa"/>
            <w:left w:w="108" w:type="dxa"/>
            <w:bottom w:w="0" w:type="dxa"/>
            <w:right w:w="108" w:type="dxa"/>
          </w:tblCellMar>
        </w:tblPrEx>
        <w:trPr>
          <w:trHeight w:val="513" w:hRule="atLeast"/>
        </w:trPr>
        <w:tc>
          <w:tcPr>
            <w:tcW w:w="993"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1984"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7DC74FAB">
        <w:tblPrEx>
          <w:tblCellMar>
            <w:top w:w="0" w:type="dxa"/>
            <w:left w:w="108" w:type="dxa"/>
            <w:bottom w:w="0" w:type="dxa"/>
            <w:right w:w="108" w:type="dxa"/>
          </w:tblCellMar>
        </w:tblPrEx>
        <w:trPr>
          <w:trHeight w:val="607" w:hRule="atLeast"/>
        </w:trPr>
        <w:tc>
          <w:tcPr>
            <w:tcW w:w="993"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r w14:paraId="4AEA3E22">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1984"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720" w:firstLineChars="4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679A93BE">
        <w:tblPrEx>
          <w:tblCellMar>
            <w:top w:w="0" w:type="dxa"/>
            <w:left w:w="108" w:type="dxa"/>
            <w:bottom w:w="0" w:type="dxa"/>
            <w:right w:w="108" w:type="dxa"/>
          </w:tblCellMar>
        </w:tblPrEx>
        <w:trPr>
          <w:trHeight w:val="574" w:hRule="atLeast"/>
        </w:trPr>
        <w:tc>
          <w:tcPr>
            <w:tcW w:w="993" w:type="dxa"/>
            <w:vMerge w:val="continue"/>
            <w:tcBorders>
              <w:left w:val="single" w:color="auto" w:sz="4" w:space="0"/>
              <w:bottom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992" w:type="dxa"/>
            <w:vMerge w:val="continue"/>
            <w:tcBorders>
              <w:left w:val="single" w:color="auto" w:sz="4" w:space="0"/>
              <w:bottom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bl>
    <w:p w14:paraId="73E8B3F8">
      <w:pPr>
        <w:spacing w:line="360" w:lineRule="auto"/>
        <w:jc w:val="left"/>
        <w:rPr>
          <w:rFonts w:ascii="仿宋_GB2312" w:eastAsia="仿宋_GB2312"/>
          <w:sz w:val="32"/>
          <w:szCs w:val="32"/>
        </w:rPr>
      </w:pP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mQwYjE0OTExNmEwZGQ4ZDZiYjExNmFjNGM0YzYifQ=="/>
  </w:docVars>
  <w:rsids>
    <w:rsidRoot w:val="001F2E97"/>
    <w:rsid w:val="0006096E"/>
    <w:rsid w:val="0010598D"/>
    <w:rsid w:val="001812FB"/>
    <w:rsid w:val="00192F5D"/>
    <w:rsid w:val="001B1F3A"/>
    <w:rsid w:val="001F2E97"/>
    <w:rsid w:val="001F660A"/>
    <w:rsid w:val="0026200F"/>
    <w:rsid w:val="002B39A6"/>
    <w:rsid w:val="002B7A4E"/>
    <w:rsid w:val="00385E27"/>
    <w:rsid w:val="004106F8"/>
    <w:rsid w:val="00412611"/>
    <w:rsid w:val="00482326"/>
    <w:rsid w:val="004971E0"/>
    <w:rsid w:val="004F4F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64B90"/>
    <w:rsid w:val="01203FAE"/>
    <w:rsid w:val="01207B0A"/>
    <w:rsid w:val="01514167"/>
    <w:rsid w:val="0159301C"/>
    <w:rsid w:val="01783F7B"/>
    <w:rsid w:val="021C29C7"/>
    <w:rsid w:val="0297204E"/>
    <w:rsid w:val="02C46BBB"/>
    <w:rsid w:val="03001E87"/>
    <w:rsid w:val="03060F81"/>
    <w:rsid w:val="03A367D0"/>
    <w:rsid w:val="04567CE7"/>
    <w:rsid w:val="04DA4474"/>
    <w:rsid w:val="058F1702"/>
    <w:rsid w:val="0694782D"/>
    <w:rsid w:val="06DB44D3"/>
    <w:rsid w:val="070E2AFA"/>
    <w:rsid w:val="07500A1D"/>
    <w:rsid w:val="075C5614"/>
    <w:rsid w:val="07BC2556"/>
    <w:rsid w:val="0822060B"/>
    <w:rsid w:val="095567BF"/>
    <w:rsid w:val="09750C0F"/>
    <w:rsid w:val="09761E8B"/>
    <w:rsid w:val="09B07E99"/>
    <w:rsid w:val="0AA95014"/>
    <w:rsid w:val="0ACE05D7"/>
    <w:rsid w:val="0AD6392F"/>
    <w:rsid w:val="0B2D79F3"/>
    <w:rsid w:val="0CD6232D"/>
    <w:rsid w:val="0CEC568C"/>
    <w:rsid w:val="0D0429D6"/>
    <w:rsid w:val="0EBF70A2"/>
    <w:rsid w:val="0FFA3C1C"/>
    <w:rsid w:val="12EE638F"/>
    <w:rsid w:val="131C3D18"/>
    <w:rsid w:val="135952FB"/>
    <w:rsid w:val="13EB21F9"/>
    <w:rsid w:val="140432BB"/>
    <w:rsid w:val="14726477"/>
    <w:rsid w:val="14E97EE7"/>
    <w:rsid w:val="14FC0436"/>
    <w:rsid w:val="154F67B8"/>
    <w:rsid w:val="16DA6555"/>
    <w:rsid w:val="174C53D2"/>
    <w:rsid w:val="17D72D0D"/>
    <w:rsid w:val="17FB6B41"/>
    <w:rsid w:val="188A79CB"/>
    <w:rsid w:val="18EB2C9C"/>
    <w:rsid w:val="19B33977"/>
    <w:rsid w:val="19D21766"/>
    <w:rsid w:val="1B0D2C76"/>
    <w:rsid w:val="1B520DB0"/>
    <w:rsid w:val="1B776A68"/>
    <w:rsid w:val="1B80221C"/>
    <w:rsid w:val="1C2362A8"/>
    <w:rsid w:val="1CA70C88"/>
    <w:rsid w:val="1D2422D8"/>
    <w:rsid w:val="1D884F5D"/>
    <w:rsid w:val="1DB7314C"/>
    <w:rsid w:val="1E2A1B70"/>
    <w:rsid w:val="1E9430DD"/>
    <w:rsid w:val="1F1840BF"/>
    <w:rsid w:val="1FF70178"/>
    <w:rsid w:val="1FF97A4C"/>
    <w:rsid w:val="21B77BBF"/>
    <w:rsid w:val="21EA7F94"/>
    <w:rsid w:val="225160C8"/>
    <w:rsid w:val="225B2C40"/>
    <w:rsid w:val="22913E8D"/>
    <w:rsid w:val="23132665"/>
    <w:rsid w:val="233A686A"/>
    <w:rsid w:val="23F724F4"/>
    <w:rsid w:val="2412732E"/>
    <w:rsid w:val="24194213"/>
    <w:rsid w:val="25AE00CE"/>
    <w:rsid w:val="263A5CDA"/>
    <w:rsid w:val="284E28FF"/>
    <w:rsid w:val="285443B9"/>
    <w:rsid w:val="289C74AE"/>
    <w:rsid w:val="28CD1A76"/>
    <w:rsid w:val="28CD5B61"/>
    <w:rsid w:val="29B175E9"/>
    <w:rsid w:val="29C70BBB"/>
    <w:rsid w:val="2A930A9D"/>
    <w:rsid w:val="2B6A7F67"/>
    <w:rsid w:val="2BDB094E"/>
    <w:rsid w:val="2C9D5C03"/>
    <w:rsid w:val="2CEB26F2"/>
    <w:rsid w:val="2DB11966"/>
    <w:rsid w:val="2DC03E95"/>
    <w:rsid w:val="2E8B21B7"/>
    <w:rsid w:val="2EAE4DD7"/>
    <w:rsid w:val="2ED33B5E"/>
    <w:rsid w:val="2F901787"/>
    <w:rsid w:val="2F963610"/>
    <w:rsid w:val="2FA03F3A"/>
    <w:rsid w:val="301F4423"/>
    <w:rsid w:val="30332B06"/>
    <w:rsid w:val="318E3914"/>
    <w:rsid w:val="31F6028F"/>
    <w:rsid w:val="32A970B0"/>
    <w:rsid w:val="32AB107A"/>
    <w:rsid w:val="334E62EB"/>
    <w:rsid w:val="337551E4"/>
    <w:rsid w:val="33B026C0"/>
    <w:rsid w:val="33CB74FA"/>
    <w:rsid w:val="34D63C9D"/>
    <w:rsid w:val="352221E1"/>
    <w:rsid w:val="35245113"/>
    <w:rsid w:val="35246EC1"/>
    <w:rsid w:val="35845606"/>
    <w:rsid w:val="35B446E9"/>
    <w:rsid w:val="35D41F54"/>
    <w:rsid w:val="35E93C67"/>
    <w:rsid w:val="36266C69"/>
    <w:rsid w:val="36580E3B"/>
    <w:rsid w:val="371768F6"/>
    <w:rsid w:val="374B2E2B"/>
    <w:rsid w:val="37C8622A"/>
    <w:rsid w:val="37F708BD"/>
    <w:rsid w:val="39C26CA9"/>
    <w:rsid w:val="3A173499"/>
    <w:rsid w:val="3A267BEC"/>
    <w:rsid w:val="3AAC3BE1"/>
    <w:rsid w:val="3AAD280F"/>
    <w:rsid w:val="3ABE1B66"/>
    <w:rsid w:val="3BB23479"/>
    <w:rsid w:val="3C177780"/>
    <w:rsid w:val="3C3C2D43"/>
    <w:rsid w:val="3C63246C"/>
    <w:rsid w:val="3C7F70D3"/>
    <w:rsid w:val="3C8B0E63"/>
    <w:rsid w:val="3C917532"/>
    <w:rsid w:val="3CC72F54"/>
    <w:rsid w:val="3DDC4AD4"/>
    <w:rsid w:val="3DFA1107"/>
    <w:rsid w:val="3F656DF7"/>
    <w:rsid w:val="400D3374"/>
    <w:rsid w:val="40181D19"/>
    <w:rsid w:val="40B25CC9"/>
    <w:rsid w:val="40C33A32"/>
    <w:rsid w:val="40ED4F53"/>
    <w:rsid w:val="4277665A"/>
    <w:rsid w:val="42AB0C22"/>
    <w:rsid w:val="42EA174A"/>
    <w:rsid w:val="4350685B"/>
    <w:rsid w:val="435412BA"/>
    <w:rsid w:val="43F87E97"/>
    <w:rsid w:val="44B518E4"/>
    <w:rsid w:val="44EE3048"/>
    <w:rsid w:val="452B7DF8"/>
    <w:rsid w:val="46E22739"/>
    <w:rsid w:val="476D2356"/>
    <w:rsid w:val="483526DD"/>
    <w:rsid w:val="48E21116"/>
    <w:rsid w:val="49396F88"/>
    <w:rsid w:val="4989333F"/>
    <w:rsid w:val="49D62A28"/>
    <w:rsid w:val="4B35377F"/>
    <w:rsid w:val="4C06511B"/>
    <w:rsid w:val="4CF5624C"/>
    <w:rsid w:val="4DF23BA9"/>
    <w:rsid w:val="4E8A2033"/>
    <w:rsid w:val="4EA053B3"/>
    <w:rsid w:val="4F0B3174"/>
    <w:rsid w:val="4F0C47F7"/>
    <w:rsid w:val="4F147B4F"/>
    <w:rsid w:val="4F5B577E"/>
    <w:rsid w:val="4FAE58AE"/>
    <w:rsid w:val="4FD74E04"/>
    <w:rsid w:val="4FEE7AF3"/>
    <w:rsid w:val="4FF736F9"/>
    <w:rsid w:val="514761E9"/>
    <w:rsid w:val="51516E38"/>
    <w:rsid w:val="516721B8"/>
    <w:rsid w:val="518965D2"/>
    <w:rsid w:val="51A26F77"/>
    <w:rsid w:val="51D13AD5"/>
    <w:rsid w:val="529A65BD"/>
    <w:rsid w:val="52A01E26"/>
    <w:rsid w:val="52C06024"/>
    <w:rsid w:val="52E53CDC"/>
    <w:rsid w:val="53230361"/>
    <w:rsid w:val="532540D9"/>
    <w:rsid w:val="53397B84"/>
    <w:rsid w:val="538057B3"/>
    <w:rsid w:val="53AC0356"/>
    <w:rsid w:val="53FA37B7"/>
    <w:rsid w:val="541F6D7A"/>
    <w:rsid w:val="546756A2"/>
    <w:rsid w:val="557E3F74"/>
    <w:rsid w:val="579B0E0D"/>
    <w:rsid w:val="5858676E"/>
    <w:rsid w:val="58CA7BFC"/>
    <w:rsid w:val="598D4786"/>
    <w:rsid w:val="59E20F76"/>
    <w:rsid w:val="5C0E53AE"/>
    <w:rsid w:val="5C904CB9"/>
    <w:rsid w:val="5CF8285E"/>
    <w:rsid w:val="5D6B1282"/>
    <w:rsid w:val="5DCA5FA9"/>
    <w:rsid w:val="5E413D91"/>
    <w:rsid w:val="5F8A08F3"/>
    <w:rsid w:val="602D4904"/>
    <w:rsid w:val="604D031E"/>
    <w:rsid w:val="61202383"/>
    <w:rsid w:val="615D7134"/>
    <w:rsid w:val="61706E67"/>
    <w:rsid w:val="61EE7CE3"/>
    <w:rsid w:val="620A1069"/>
    <w:rsid w:val="6256605D"/>
    <w:rsid w:val="62655D53"/>
    <w:rsid w:val="62802EE5"/>
    <w:rsid w:val="62F5689F"/>
    <w:rsid w:val="63422A85"/>
    <w:rsid w:val="64416899"/>
    <w:rsid w:val="6454481E"/>
    <w:rsid w:val="648844C8"/>
    <w:rsid w:val="649461E7"/>
    <w:rsid w:val="64A61F32"/>
    <w:rsid w:val="64A67E87"/>
    <w:rsid w:val="650A1380"/>
    <w:rsid w:val="6546685C"/>
    <w:rsid w:val="663D12E2"/>
    <w:rsid w:val="66A51361"/>
    <w:rsid w:val="67767967"/>
    <w:rsid w:val="67B53825"/>
    <w:rsid w:val="680E73DA"/>
    <w:rsid w:val="68512B80"/>
    <w:rsid w:val="68F4037D"/>
    <w:rsid w:val="68F67599"/>
    <w:rsid w:val="692A1FF1"/>
    <w:rsid w:val="6B3929BF"/>
    <w:rsid w:val="6B916358"/>
    <w:rsid w:val="6BAE0CB8"/>
    <w:rsid w:val="6BEC17E0"/>
    <w:rsid w:val="6C111A96"/>
    <w:rsid w:val="6C787517"/>
    <w:rsid w:val="6D1A412B"/>
    <w:rsid w:val="6D4B2536"/>
    <w:rsid w:val="6D4B54DD"/>
    <w:rsid w:val="6D635365"/>
    <w:rsid w:val="6DC7794B"/>
    <w:rsid w:val="6DD8201C"/>
    <w:rsid w:val="6DF029B0"/>
    <w:rsid w:val="6DFF1C9E"/>
    <w:rsid w:val="6EBA3E17"/>
    <w:rsid w:val="6EFA2466"/>
    <w:rsid w:val="6F5E29F5"/>
    <w:rsid w:val="6F9E7295"/>
    <w:rsid w:val="70761FC0"/>
    <w:rsid w:val="70A1528F"/>
    <w:rsid w:val="70D96C11"/>
    <w:rsid w:val="714F17AA"/>
    <w:rsid w:val="71520337"/>
    <w:rsid w:val="71A768D5"/>
    <w:rsid w:val="72FF44EF"/>
    <w:rsid w:val="733F48EB"/>
    <w:rsid w:val="74341F76"/>
    <w:rsid w:val="74EB233C"/>
    <w:rsid w:val="75153B55"/>
    <w:rsid w:val="7541494A"/>
    <w:rsid w:val="759A405B"/>
    <w:rsid w:val="75A008B0"/>
    <w:rsid w:val="75A86778"/>
    <w:rsid w:val="762F6E99"/>
    <w:rsid w:val="76677B4B"/>
    <w:rsid w:val="771542E1"/>
    <w:rsid w:val="772067E2"/>
    <w:rsid w:val="774A385E"/>
    <w:rsid w:val="77C52CF4"/>
    <w:rsid w:val="796B468C"/>
    <w:rsid w:val="79FE72AE"/>
    <w:rsid w:val="7A7E03EF"/>
    <w:rsid w:val="7A9478B0"/>
    <w:rsid w:val="7A9B68AB"/>
    <w:rsid w:val="7AB43E11"/>
    <w:rsid w:val="7AB4796D"/>
    <w:rsid w:val="7AB636E5"/>
    <w:rsid w:val="7B97545F"/>
    <w:rsid w:val="7BA94FF8"/>
    <w:rsid w:val="7C5746D7"/>
    <w:rsid w:val="7C683105"/>
    <w:rsid w:val="7CC439BC"/>
    <w:rsid w:val="7D4633F9"/>
    <w:rsid w:val="7E7A711F"/>
    <w:rsid w:val="7EFC7B34"/>
    <w:rsid w:val="7F1430D0"/>
    <w:rsid w:val="7F4F235A"/>
    <w:rsid w:val="7FA77AA0"/>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4846</Words>
  <Characters>5236</Characters>
  <Lines>58</Lines>
  <Paragraphs>16</Paragraphs>
  <TotalTime>10</TotalTime>
  <ScaleCrop>false</ScaleCrop>
  <LinksUpToDate>false</LinksUpToDate>
  <CharactersWithSpaces>5319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2024-10-30T04:52:00Z</cp:lastPrinted>
  <dcterms:modified xsi:type="dcterms:W3CDTF">2024-11-14T06:35:20Z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AD97D2B251994038A9BE2A84BCDBBC85_12</vt:lpwstr>
  </property>
</Properties>
</file>